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B3" w:rsidRPr="00314F56" w:rsidRDefault="00EB0894" w:rsidP="000F75B3">
      <w:pPr>
        <w:rPr>
          <w:rFonts w:cstheme="minorHAnsi"/>
          <w:noProof/>
          <w:sz w:val="20"/>
          <w:szCs w:val="20"/>
        </w:rPr>
      </w:pPr>
      <w:r>
        <w:rPr>
          <w:rFonts w:cstheme="minorHAns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1.5pt;width:143.25pt;height:84pt;z-index:251659264;mso-position-horizontal-relative:text;mso-position-vertical-relative:text;mso-width-relative:page;mso-height-relative:page">
            <v:imagedata r:id="rId8" o:title="john_vandenberg-1024x597"/>
          </v:shape>
        </w:pict>
      </w:r>
    </w:p>
    <w:p w:rsidR="004375FB" w:rsidRPr="00314F56" w:rsidRDefault="004375FB" w:rsidP="000F75B3">
      <w:pPr>
        <w:rPr>
          <w:rFonts w:cstheme="minorHAnsi"/>
          <w:sz w:val="20"/>
          <w:szCs w:val="20"/>
        </w:rPr>
      </w:pPr>
    </w:p>
    <w:p w:rsidR="00F340C3" w:rsidRPr="00314F56" w:rsidRDefault="00F340C3" w:rsidP="000F75B3">
      <w:pPr>
        <w:rPr>
          <w:rFonts w:cstheme="minorHAnsi"/>
          <w:sz w:val="20"/>
          <w:szCs w:val="20"/>
        </w:rPr>
      </w:pPr>
    </w:p>
    <w:p w:rsidR="00F340C3" w:rsidRPr="00314F56" w:rsidRDefault="00F340C3" w:rsidP="000F75B3">
      <w:pPr>
        <w:rPr>
          <w:rFonts w:cstheme="minorHAnsi"/>
          <w:sz w:val="20"/>
          <w:szCs w:val="20"/>
        </w:rPr>
      </w:pPr>
    </w:p>
    <w:p w:rsidR="00561476" w:rsidRDefault="00561476" w:rsidP="00314F56">
      <w:pPr>
        <w:spacing w:after="120" w:line="240" w:lineRule="auto"/>
        <w:rPr>
          <w:rFonts w:ascii="Roboto" w:hAnsi="Roboto" w:cstheme="minorHAnsi"/>
          <w:b/>
          <w:sz w:val="20"/>
          <w:szCs w:val="20"/>
        </w:rPr>
      </w:pPr>
    </w:p>
    <w:p w:rsidR="00561476" w:rsidRDefault="0074152A" w:rsidP="00314F56">
      <w:pPr>
        <w:spacing w:after="120" w:line="240" w:lineRule="auto"/>
        <w:rPr>
          <w:rFonts w:ascii="Roboto" w:hAnsi="Roboto" w:cstheme="minorHAnsi"/>
          <w:b/>
          <w:sz w:val="20"/>
          <w:szCs w:val="20"/>
        </w:rPr>
      </w:pPr>
      <w:r w:rsidRPr="00561476">
        <w:rPr>
          <w:rFonts w:ascii="Roboto" w:hAnsi="Roboto" w:cstheme="minorHAnsi"/>
          <w:b/>
          <w:sz w:val="20"/>
          <w:szCs w:val="20"/>
        </w:rPr>
        <w:t>PARTNER</w:t>
      </w:r>
      <w:r w:rsidR="00385E86" w:rsidRPr="00561476">
        <w:rPr>
          <w:rFonts w:ascii="Roboto" w:hAnsi="Roboto" w:cstheme="minorHAnsi"/>
          <w:b/>
          <w:sz w:val="20"/>
          <w:szCs w:val="20"/>
        </w:rPr>
        <w:br/>
      </w:r>
      <w:r w:rsidR="00385E86" w:rsidRPr="00561476">
        <w:rPr>
          <w:rFonts w:ascii="Roboto" w:hAnsi="Roboto" w:cstheme="minorHAnsi"/>
          <w:sz w:val="20"/>
          <w:szCs w:val="20"/>
        </w:rPr>
        <w:t>Portland Office</w:t>
      </w:r>
      <w:r w:rsidR="00BB3563" w:rsidRPr="00561476">
        <w:rPr>
          <w:rFonts w:ascii="Roboto" w:hAnsi="Roboto" w:cstheme="minorHAnsi"/>
          <w:sz w:val="20"/>
          <w:szCs w:val="20"/>
        </w:rPr>
        <w:br/>
      </w:r>
      <w:r w:rsidR="004375FB" w:rsidRPr="00561476">
        <w:rPr>
          <w:rFonts w:ascii="Roboto" w:hAnsi="Roboto" w:cstheme="minorHAnsi"/>
          <w:sz w:val="20"/>
          <w:szCs w:val="20"/>
        </w:rPr>
        <w:t>503.473.0853</w:t>
      </w:r>
      <w:r w:rsidR="000F75B3" w:rsidRPr="00561476">
        <w:rPr>
          <w:rFonts w:ascii="Roboto" w:hAnsi="Roboto" w:cstheme="minorHAnsi"/>
          <w:sz w:val="20"/>
          <w:szCs w:val="20"/>
        </w:rPr>
        <w:br/>
      </w:r>
      <w:r w:rsidR="00561476" w:rsidRPr="00561476">
        <w:rPr>
          <w:rFonts w:ascii="Roboto" w:hAnsi="Roboto" w:cstheme="minorHAnsi"/>
          <w:sz w:val="20"/>
          <w:szCs w:val="20"/>
        </w:rPr>
        <w:t>john.vandenberg@klarquist.co</w:t>
      </w:r>
      <w:r w:rsidR="00561476">
        <w:rPr>
          <w:rFonts w:ascii="Roboto" w:hAnsi="Roboto" w:cstheme="minorHAnsi"/>
          <w:sz w:val="20"/>
          <w:szCs w:val="20"/>
        </w:rPr>
        <w:t>m</w:t>
      </w:r>
      <w:r w:rsidR="00561476">
        <w:rPr>
          <w:rFonts w:ascii="Roboto" w:hAnsi="Roboto" w:cstheme="minorHAnsi"/>
          <w:sz w:val="20"/>
          <w:szCs w:val="20"/>
        </w:rPr>
        <w:br/>
      </w:r>
      <w:r w:rsidR="00561476">
        <w:rPr>
          <w:rFonts w:ascii="Roboto" w:hAnsi="Roboto" w:cstheme="minorHAnsi"/>
          <w:sz w:val="20"/>
          <w:szCs w:val="20"/>
        </w:rPr>
        <w:br/>
      </w:r>
      <w:r w:rsidR="00561476">
        <w:rPr>
          <w:rFonts w:ascii="Roboto" w:hAnsi="Roboto" w:cstheme="minorHAnsi"/>
          <w:sz w:val="20"/>
          <w:szCs w:val="20"/>
        </w:rPr>
        <w:br/>
      </w:r>
      <w:r w:rsidR="00561476">
        <w:rPr>
          <w:rFonts w:ascii="Roboto" w:hAnsi="Roboto" w:cstheme="minorHAnsi"/>
          <w:b/>
          <w:sz w:val="20"/>
          <w:szCs w:val="20"/>
        </w:rPr>
        <w:t>EDUCATION</w:t>
      </w:r>
    </w:p>
    <w:p w:rsidR="004375FB" w:rsidRPr="00561476" w:rsidRDefault="004375FB" w:rsidP="00314F56">
      <w:pPr>
        <w:spacing w:after="120" w:line="240" w:lineRule="auto"/>
        <w:rPr>
          <w:rFonts w:ascii="Roboto" w:hAnsi="Roboto" w:cstheme="minorHAnsi"/>
          <w:sz w:val="20"/>
          <w:szCs w:val="20"/>
        </w:rPr>
      </w:pPr>
      <w:r w:rsidRPr="00561476">
        <w:rPr>
          <w:rFonts w:ascii="Roboto" w:hAnsi="Roboto" w:cstheme="minorHAnsi"/>
          <w:sz w:val="20"/>
          <w:szCs w:val="20"/>
        </w:rPr>
        <w:t>J.D., Order of the Coif, New York University School of Law, 1983</w:t>
      </w:r>
    </w:p>
    <w:p w:rsidR="00561476" w:rsidRDefault="004375FB" w:rsidP="00314F56">
      <w:pPr>
        <w:spacing w:after="120" w:line="240" w:lineRule="auto"/>
        <w:rPr>
          <w:rFonts w:ascii="Roboto" w:hAnsi="Roboto" w:cstheme="minorHAnsi"/>
          <w:sz w:val="20"/>
          <w:szCs w:val="20"/>
        </w:rPr>
      </w:pPr>
      <w:proofErr w:type="spellStart"/>
      <w:r w:rsidRPr="00561476">
        <w:rPr>
          <w:rFonts w:ascii="Roboto" w:hAnsi="Roboto" w:cstheme="minorHAnsi"/>
          <w:sz w:val="20"/>
          <w:szCs w:val="20"/>
        </w:rPr>
        <w:t>B.S.E</w:t>
      </w:r>
      <w:proofErr w:type="spellEnd"/>
      <w:r w:rsidRPr="00561476">
        <w:rPr>
          <w:rFonts w:ascii="Roboto" w:hAnsi="Roboto" w:cstheme="minorHAnsi"/>
          <w:sz w:val="20"/>
          <w:szCs w:val="20"/>
        </w:rPr>
        <w:t xml:space="preserve">., </w:t>
      </w:r>
      <w:r w:rsidRPr="00561476">
        <w:rPr>
          <w:rFonts w:ascii="Roboto" w:hAnsi="Roboto" w:cstheme="minorHAnsi"/>
          <w:i/>
          <w:sz w:val="20"/>
          <w:szCs w:val="20"/>
        </w:rPr>
        <w:t>cum laude</w:t>
      </w:r>
      <w:r w:rsidRPr="00561476">
        <w:rPr>
          <w:rFonts w:ascii="Roboto" w:hAnsi="Roboto" w:cstheme="minorHAnsi"/>
          <w:sz w:val="20"/>
          <w:szCs w:val="20"/>
        </w:rPr>
        <w:t xml:space="preserve"> in Mechanical and Aerospace Engineering, Princeton University, 1979</w:t>
      </w:r>
      <w:r w:rsidR="00561476">
        <w:rPr>
          <w:rFonts w:ascii="Roboto" w:hAnsi="Roboto" w:cstheme="minorHAnsi"/>
          <w:sz w:val="20"/>
          <w:szCs w:val="20"/>
        </w:rPr>
        <w:br/>
      </w:r>
      <w:r w:rsidR="00561476">
        <w:rPr>
          <w:rFonts w:ascii="Roboto" w:hAnsi="Roboto" w:cstheme="minorHAnsi"/>
          <w:sz w:val="20"/>
          <w:szCs w:val="20"/>
        </w:rPr>
        <w:br/>
      </w:r>
      <w:r w:rsidRPr="00561476">
        <w:rPr>
          <w:rFonts w:ascii="Roboto" w:hAnsi="Roboto" w:cstheme="minorHAnsi"/>
          <w:b/>
          <w:sz w:val="20"/>
          <w:szCs w:val="20"/>
        </w:rPr>
        <w:t>ADMISSIONS</w:t>
      </w:r>
    </w:p>
    <w:p w:rsidR="00561476" w:rsidRDefault="004375FB" w:rsidP="00314F56">
      <w:pPr>
        <w:spacing w:after="120" w:line="240" w:lineRule="auto"/>
        <w:rPr>
          <w:rFonts w:ascii="Roboto" w:hAnsi="Roboto" w:cstheme="minorHAnsi"/>
          <w:b/>
          <w:sz w:val="20"/>
          <w:szCs w:val="20"/>
        </w:rPr>
      </w:pPr>
      <w:r w:rsidRPr="00561476">
        <w:rPr>
          <w:rFonts w:ascii="Roboto" w:hAnsi="Roboto" w:cstheme="minorHAnsi"/>
          <w:sz w:val="20"/>
          <w:szCs w:val="20"/>
        </w:rPr>
        <w:t>Oregon, 1989</w:t>
      </w:r>
      <w:r w:rsidR="00561476">
        <w:rPr>
          <w:rFonts w:ascii="Roboto" w:hAnsi="Roboto" w:cstheme="minorHAnsi"/>
          <w:sz w:val="20"/>
          <w:szCs w:val="20"/>
        </w:rPr>
        <w:br/>
      </w:r>
      <w:r w:rsidRPr="00561476">
        <w:rPr>
          <w:rFonts w:ascii="Roboto" w:hAnsi="Roboto" w:cstheme="minorHAnsi"/>
          <w:sz w:val="20"/>
          <w:szCs w:val="20"/>
        </w:rPr>
        <w:t>Washington, 2006</w:t>
      </w:r>
      <w:r w:rsidR="00561476">
        <w:rPr>
          <w:rFonts w:ascii="Roboto" w:hAnsi="Roboto" w:cstheme="minorHAnsi"/>
          <w:sz w:val="20"/>
          <w:szCs w:val="20"/>
        </w:rPr>
        <w:br/>
      </w:r>
      <w:r w:rsidRPr="00561476">
        <w:rPr>
          <w:rFonts w:ascii="Roboto" w:hAnsi="Roboto" w:cstheme="minorHAnsi"/>
          <w:sz w:val="20"/>
          <w:szCs w:val="20"/>
        </w:rPr>
        <w:t>U.S. Patent and Trademark Office, 1984 (Reg. No. 31,312</w:t>
      </w:r>
      <w:proofErr w:type="gramStart"/>
      <w:r w:rsidRPr="00561476">
        <w:rPr>
          <w:rFonts w:ascii="Roboto" w:hAnsi="Roboto" w:cstheme="minorHAnsi"/>
          <w:sz w:val="20"/>
          <w:szCs w:val="20"/>
        </w:rPr>
        <w:t>)</w:t>
      </w:r>
      <w:proofErr w:type="gramEnd"/>
      <w:r w:rsidR="00561476">
        <w:rPr>
          <w:rFonts w:ascii="Roboto" w:hAnsi="Roboto" w:cstheme="minorHAnsi"/>
          <w:sz w:val="20"/>
          <w:szCs w:val="20"/>
        </w:rPr>
        <w:br/>
      </w:r>
      <w:r w:rsidRPr="00561476">
        <w:rPr>
          <w:rFonts w:ascii="Roboto" w:hAnsi="Roboto" w:cstheme="minorHAnsi"/>
          <w:sz w:val="20"/>
          <w:szCs w:val="20"/>
        </w:rPr>
        <w:t>U.S. Supreme Court</w:t>
      </w:r>
      <w:r w:rsidR="00561476">
        <w:rPr>
          <w:rFonts w:ascii="Roboto" w:hAnsi="Roboto" w:cstheme="minorHAnsi"/>
          <w:sz w:val="20"/>
          <w:szCs w:val="20"/>
        </w:rPr>
        <w:br/>
      </w:r>
      <w:r w:rsidRPr="00561476">
        <w:rPr>
          <w:rFonts w:ascii="Roboto" w:hAnsi="Roboto" w:cstheme="minorHAnsi"/>
          <w:sz w:val="20"/>
          <w:szCs w:val="20"/>
        </w:rPr>
        <w:t>U.S. Court of Appeals for the Federal, Second, Fifth, Ninth, and Eleventh Circuits</w:t>
      </w:r>
      <w:r w:rsidR="00561476">
        <w:rPr>
          <w:rFonts w:ascii="Roboto" w:hAnsi="Roboto" w:cstheme="minorHAnsi"/>
          <w:sz w:val="20"/>
          <w:szCs w:val="20"/>
        </w:rPr>
        <w:br/>
      </w:r>
      <w:r w:rsidRPr="00561476">
        <w:rPr>
          <w:rFonts w:ascii="Roboto" w:hAnsi="Roboto" w:cstheme="minorHAnsi"/>
          <w:sz w:val="20"/>
          <w:szCs w:val="20"/>
        </w:rPr>
        <w:t>U.S. Court of Federal Claims</w:t>
      </w:r>
      <w:r w:rsidR="00561476">
        <w:rPr>
          <w:rFonts w:ascii="Roboto" w:hAnsi="Roboto" w:cstheme="minorHAnsi"/>
          <w:sz w:val="20"/>
          <w:szCs w:val="20"/>
        </w:rPr>
        <w:br/>
      </w:r>
      <w:r w:rsidRPr="00561476">
        <w:rPr>
          <w:rFonts w:ascii="Roboto" w:hAnsi="Roboto" w:cstheme="minorHAnsi"/>
          <w:sz w:val="20"/>
          <w:szCs w:val="20"/>
        </w:rPr>
        <w:t>U.S. District Court for the Eastern District of Michigan</w:t>
      </w:r>
      <w:r w:rsidR="00561476">
        <w:rPr>
          <w:rFonts w:ascii="Roboto" w:hAnsi="Roboto" w:cstheme="minorHAnsi"/>
          <w:sz w:val="20"/>
          <w:szCs w:val="20"/>
        </w:rPr>
        <w:br/>
      </w:r>
      <w:r w:rsidRPr="00561476">
        <w:rPr>
          <w:rFonts w:ascii="Roboto" w:hAnsi="Roboto" w:cstheme="minorHAnsi"/>
          <w:sz w:val="20"/>
          <w:szCs w:val="20"/>
        </w:rPr>
        <w:t>U.S. District Court for the District of Oregon</w:t>
      </w:r>
      <w:r w:rsidR="00561476">
        <w:rPr>
          <w:rFonts w:ascii="Roboto" w:hAnsi="Roboto" w:cstheme="minorHAnsi"/>
          <w:sz w:val="20"/>
          <w:szCs w:val="20"/>
        </w:rPr>
        <w:br/>
      </w:r>
      <w:r w:rsidRPr="00561476">
        <w:rPr>
          <w:rFonts w:ascii="Roboto" w:hAnsi="Roboto" w:cstheme="minorHAnsi"/>
          <w:sz w:val="20"/>
          <w:szCs w:val="20"/>
        </w:rPr>
        <w:t>U.S. District Court for the Eastern District of Texas</w:t>
      </w:r>
      <w:r w:rsidR="00561476">
        <w:rPr>
          <w:rFonts w:ascii="Roboto" w:hAnsi="Roboto" w:cstheme="minorHAnsi"/>
          <w:sz w:val="20"/>
          <w:szCs w:val="20"/>
        </w:rPr>
        <w:br/>
      </w:r>
      <w:r w:rsidRPr="00561476">
        <w:rPr>
          <w:rFonts w:ascii="Roboto" w:hAnsi="Roboto" w:cstheme="minorHAnsi"/>
          <w:sz w:val="20"/>
          <w:szCs w:val="20"/>
        </w:rPr>
        <w:t>U.S. District Court for the Western District Washington</w:t>
      </w:r>
      <w:r w:rsidR="00561476">
        <w:rPr>
          <w:rFonts w:ascii="Roboto" w:hAnsi="Roboto" w:cstheme="minorHAnsi"/>
          <w:sz w:val="20"/>
          <w:szCs w:val="20"/>
        </w:rPr>
        <w:br/>
      </w:r>
      <w:r w:rsidR="00561476">
        <w:rPr>
          <w:rFonts w:ascii="Roboto" w:hAnsi="Roboto" w:cstheme="minorHAnsi"/>
          <w:sz w:val="20"/>
          <w:szCs w:val="20"/>
        </w:rPr>
        <w:br/>
      </w:r>
      <w:r w:rsidR="0074152A" w:rsidRPr="00561476">
        <w:rPr>
          <w:rFonts w:ascii="Roboto" w:hAnsi="Roboto" w:cstheme="minorHAnsi"/>
          <w:b/>
          <w:sz w:val="20"/>
          <w:szCs w:val="20"/>
        </w:rPr>
        <w:t>PRACTICE AREAS</w:t>
      </w:r>
    </w:p>
    <w:p w:rsidR="00561476" w:rsidRDefault="00E47C45" w:rsidP="00314F56">
      <w:pPr>
        <w:spacing w:after="120" w:line="240" w:lineRule="auto"/>
        <w:rPr>
          <w:rFonts w:ascii="Roboto" w:hAnsi="Roboto" w:cstheme="minorHAnsi"/>
          <w:sz w:val="20"/>
          <w:szCs w:val="20"/>
        </w:rPr>
      </w:pPr>
      <w:r w:rsidRPr="00561476">
        <w:rPr>
          <w:rFonts w:ascii="Roboto" w:hAnsi="Roboto" w:cstheme="minorHAnsi"/>
          <w:sz w:val="20"/>
          <w:szCs w:val="20"/>
        </w:rPr>
        <w:t>Litigation</w:t>
      </w:r>
      <w:r w:rsidR="00561476">
        <w:rPr>
          <w:rFonts w:ascii="Roboto" w:hAnsi="Roboto" w:cstheme="minorHAnsi"/>
          <w:sz w:val="20"/>
          <w:szCs w:val="20"/>
        </w:rPr>
        <w:br/>
      </w:r>
      <w:r w:rsidR="0074152A" w:rsidRPr="00561476">
        <w:rPr>
          <w:rFonts w:ascii="Roboto" w:hAnsi="Roboto" w:cstheme="minorHAnsi"/>
          <w:sz w:val="20"/>
          <w:szCs w:val="20"/>
        </w:rPr>
        <w:t>Post-Grant USPTO Proceedings</w:t>
      </w:r>
      <w:r w:rsidR="00561476">
        <w:rPr>
          <w:rFonts w:ascii="Roboto" w:hAnsi="Roboto" w:cstheme="minorHAnsi"/>
          <w:sz w:val="20"/>
          <w:szCs w:val="20"/>
        </w:rPr>
        <w:br/>
      </w:r>
      <w:r w:rsidR="00561476">
        <w:rPr>
          <w:rFonts w:ascii="Roboto" w:hAnsi="Roboto" w:cstheme="minorHAnsi"/>
          <w:sz w:val="20"/>
          <w:szCs w:val="20"/>
        </w:rPr>
        <w:br/>
      </w:r>
      <w:r w:rsidR="000F75B3" w:rsidRPr="00561476">
        <w:rPr>
          <w:rFonts w:ascii="Roboto" w:hAnsi="Roboto" w:cstheme="minorHAnsi"/>
          <w:b/>
          <w:sz w:val="20"/>
          <w:szCs w:val="20"/>
        </w:rPr>
        <w:t>TECHNOLOGY AREAS</w:t>
      </w:r>
    </w:p>
    <w:p w:rsidR="001249AA" w:rsidRPr="00561476" w:rsidRDefault="004375FB" w:rsidP="00314F56">
      <w:pPr>
        <w:spacing w:after="120" w:line="240" w:lineRule="auto"/>
        <w:rPr>
          <w:rFonts w:ascii="Roboto" w:hAnsi="Roboto" w:cstheme="minorHAnsi"/>
          <w:sz w:val="20"/>
          <w:szCs w:val="20"/>
        </w:rPr>
      </w:pPr>
      <w:r w:rsidRPr="00561476">
        <w:rPr>
          <w:rFonts w:ascii="Roboto" w:hAnsi="Roboto" w:cstheme="minorHAnsi"/>
          <w:sz w:val="20"/>
          <w:szCs w:val="20"/>
        </w:rPr>
        <w:t>Software &amp; Internet Technology</w:t>
      </w:r>
      <w:r w:rsidR="0074152A" w:rsidRPr="00561476">
        <w:rPr>
          <w:rFonts w:ascii="Roboto" w:hAnsi="Roboto" w:cstheme="minorHAnsi"/>
          <w:sz w:val="20"/>
          <w:szCs w:val="20"/>
        </w:rPr>
        <w:br/>
      </w:r>
    </w:p>
    <w:p w:rsidR="009C5FB7" w:rsidRPr="00561476" w:rsidRDefault="004375FB" w:rsidP="000F75B3">
      <w:pPr>
        <w:rPr>
          <w:rFonts w:ascii="Cardea OT Reg" w:hAnsi="Cardea OT Reg" w:cstheme="minorHAnsi"/>
          <w:b/>
          <w:sz w:val="48"/>
          <w:szCs w:val="48"/>
        </w:rPr>
      </w:pPr>
      <w:r w:rsidRPr="00561476">
        <w:rPr>
          <w:rFonts w:ascii="Cardea OT Reg" w:hAnsi="Cardea OT Reg" w:cstheme="minorHAnsi"/>
          <w:b/>
          <w:sz w:val="48"/>
          <w:szCs w:val="48"/>
        </w:rPr>
        <w:t>John D. Vandenberg</w:t>
      </w:r>
    </w:p>
    <w:p w:rsidR="004375FB" w:rsidRPr="00561476" w:rsidRDefault="004375FB" w:rsidP="004375FB">
      <w:pPr>
        <w:jc w:val="both"/>
        <w:rPr>
          <w:rFonts w:ascii="Roboto" w:hAnsi="Roboto" w:cstheme="minorHAnsi"/>
        </w:rPr>
      </w:pPr>
      <w:r w:rsidRPr="00561476">
        <w:rPr>
          <w:rFonts w:ascii="Roboto" w:hAnsi="Roboto" w:cstheme="minorHAnsi"/>
        </w:rPr>
        <w:t>For 33 years, John has been litigating patents around the country for technology clients including Microsoft, SAP, eBay, Nautilus, and Mentor Graphics.</w:t>
      </w:r>
    </w:p>
    <w:p w:rsidR="004375FB" w:rsidRPr="00561476" w:rsidRDefault="004375FB" w:rsidP="004375FB">
      <w:pPr>
        <w:jc w:val="both"/>
        <w:rPr>
          <w:rFonts w:ascii="Roboto" w:hAnsi="Roboto" w:cstheme="minorHAnsi"/>
        </w:rPr>
      </w:pPr>
      <w:r w:rsidRPr="00561476">
        <w:rPr>
          <w:rFonts w:ascii="Roboto" w:hAnsi="Roboto" w:cstheme="minorHAnsi"/>
          <w:u w:val="single"/>
        </w:rPr>
        <w:t>Supreme Court and Courts of Appeals</w:t>
      </w:r>
      <w:r w:rsidRPr="00561476">
        <w:rPr>
          <w:rFonts w:ascii="Roboto" w:hAnsi="Roboto" w:cstheme="minorHAnsi"/>
        </w:rPr>
        <w:t xml:space="preserve">: John has argued a dozen appeals before the Court of Appeals for the Federal Circuit. He successfully argued before the Supreme Court of the United States in Nautilus, Inc. v. </w:t>
      </w:r>
      <w:proofErr w:type="spellStart"/>
      <w:r w:rsidRPr="00561476">
        <w:rPr>
          <w:rFonts w:ascii="Roboto" w:hAnsi="Roboto" w:cstheme="minorHAnsi"/>
        </w:rPr>
        <w:t>Biosig</w:t>
      </w:r>
      <w:proofErr w:type="spellEnd"/>
      <w:r w:rsidRPr="00561476">
        <w:rPr>
          <w:rFonts w:ascii="Roboto" w:hAnsi="Roboto" w:cstheme="minorHAnsi"/>
        </w:rPr>
        <w:t xml:space="preserve"> Instruments, Inc., No. 13-369, for rejection of the Federal Circuit’s “insolubly ambiguous” and “amenable to construction” test for enforcing the Patent Act’s mandate that patent claims “particularly point [ ] out and distinctly claim [ ]” the patent’s invention.</w:t>
      </w:r>
    </w:p>
    <w:p w:rsidR="004375FB" w:rsidRPr="00561476" w:rsidRDefault="004375FB" w:rsidP="004375FB">
      <w:pPr>
        <w:jc w:val="both"/>
        <w:rPr>
          <w:rFonts w:ascii="Roboto" w:hAnsi="Roboto" w:cstheme="minorHAnsi"/>
        </w:rPr>
      </w:pPr>
      <w:r w:rsidRPr="00561476">
        <w:rPr>
          <w:rFonts w:ascii="Roboto" w:hAnsi="Roboto" w:cstheme="minorHAnsi"/>
          <w:u w:val="single"/>
        </w:rPr>
        <w:t>Court Trials</w:t>
      </w:r>
      <w:r w:rsidRPr="00561476">
        <w:rPr>
          <w:rFonts w:ascii="Roboto" w:hAnsi="Roboto" w:cstheme="minorHAnsi"/>
        </w:rPr>
        <w:t>: John has first-chair tried patent infringement suits, copyright infringement suits, trademark infringement suits, and product-configuration trade dress suits. Most recently, he and a team at Klarquist obtained an $8.42 Million jury verdict in a false advertising action.</w:t>
      </w:r>
    </w:p>
    <w:p w:rsidR="004375FB" w:rsidRPr="00561476" w:rsidRDefault="004375FB" w:rsidP="004375FB">
      <w:pPr>
        <w:jc w:val="both"/>
        <w:rPr>
          <w:rFonts w:ascii="Roboto" w:hAnsi="Roboto" w:cstheme="minorHAnsi"/>
        </w:rPr>
      </w:pPr>
      <w:r w:rsidRPr="00561476">
        <w:rPr>
          <w:rFonts w:ascii="Roboto" w:hAnsi="Roboto" w:cstheme="minorHAnsi"/>
          <w:u w:val="single"/>
        </w:rPr>
        <w:t>PTAB Trials</w:t>
      </w:r>
      <w:r w:rsidRPr="00561476">
        <w:rPr>
          <w:rFonts w:ascii="Roboto" w:hAnsi="Roboto" w:cstheme="minorHAnsi"/>
        </w:rPr>
        <w:t>: John has been lead counsel in Patent Office trial proceedings.</w:t>
      </w:r>
    </w:p>
    <w:p w:rsidR="004375FB" w:rsidRPr="00561476" w:rsidRDefault="004375FB" w:rsidP="004375FB">
      <w:pPr>
        <w:jc w:val="both"/>
        <w:rPr>
          <w:rFonts w:ascii="Roboto" w:hAnsi="Roboto" w:cstheme="minorHAnsi"/>
        </w:rPr>
      </w:pPr>
      <w:r w:rsidRPr="00561476">
        <w:rPr>
          <w:rFonts w:ascii="Roboto" w:hAnsi="Roboto" w:cstheme="minorHAnsi"/>
          <w:u w:val="single"/>
        </w:rPr>
        <w:t>Patent-Law Training and Advocacy</w:t>
      </w:r>
      <w:r w:rsidRPr="00561476">
        <w:rPr>
          <w:rFonts w:ascii="Roboto" w:hAnsi="Roboto" w:cstheme="minorHAnsi"/>
        </w:rPr>
        <w:t>: Since 2004, John has been the primary editor of an extensive summary of substantive defenses and related strategies in patent infringement suits, posted at patentdefenses.klarquist.com. He speaks throughout the nation on patent law, district-court patent litigation, PTAB patent trials, and patent appellate practice. He emphasizes untraditional approaches to successfully defending against a patent infringement suit while improving the law and patent system in the process. To the same end, he has authored many Amici briefs in the U.S. Supreme Court and the Federal Circuit on behalf of scores of technology companies and associations.</w:t>
      </w:r>
    </w:p>
    <w:p w:rsidR="009A20A8" w:rsidRPr="00561476" w:rsidRDefault="004375FB" w:rsidP="004375FB">
      <w:pPr>
        <w:jc w:val="both"/>
        <w:rPr>
          <w:rFonts w:ascii="Roboto" w:hAnsi="Roboto" w:cstheme="minorHAnsi"/>
        </w:rPr>
      </w:pPr>
      <w:r w:rsidRPr="00561476">
        <w:rPr>
          <w:rFonts w:ascii="Roboto" w:hAnsi="Roboto" w:cstheme="minorHAnsi"/>
        </w:rPr>
        <w:t>John joined Klarquist in 1989 as an associate and became partner in 1991.</w:t>
      </w:r>
    </w:p>
    <w:p w:rsidR="009A20A8" w:rsidRPr="00561476" w:rsidRDefault="009A20A8" w:rsidP="000F75B3">
      <w:pPr>
        <w:rPr>
          <w:rFonts w:ascii="Roboto" w:hAnsi="Roboto" w:cstheme="minorHAnsi"/>
          <w:b/>
          <w:sz w:val="20"/>
          <w:szCs w:val="20"/>
        </w:rPr>
      </w:pPr>
    </w:p>
    <w:p w:rsidR="00260572" w:rsidRPr="00561476" w:rsidRDefault="00260572" w:rsidP="000F75B3">
      <w:pPr>
        <w:rPr>
          <w:rFonts w:ascii="Roboto" w:hAnsi="Roboto" w:cstheme="minorHAnsi"/>
          <w:b/>
          <w:sz w:val="20"/>
          <w:szCs w:val="20"/>
        </w:rPr>
      </w:pPr>
    </w:p>
    <w:p w:rsidR="00260572" w:rsidRPr="00561476" w:rsidRDefault="00260572" w:rsidP="000F75B3">
      <w:pPr>
        <w:rPr>
          <w:rFonts w:ascii="Roboto" w:hAnsi="Roboto" w:cstheme="minorHAnsi"/>
          <w:b/>
          <w:sz w:val="20"/>
          <w:szCs w:val="20"/>
        </w:rPr>
      </w:pPr>
    </w:p>
    <w:p w:rsidR="00260572" w:rsidRPr="00561476" w:rsidRDefault="00260572" w:rsidP="000F75B3">
      <w:pPr>
        <w:rPr>
          <w:rFonts w:ascii="Roboto" w:hAnsi="Roboto" w:cstheme="minorHAnsi"/>
          <w:b/>
          <w:sz w:val="20"/>
          <w:szCs w:val="20"/>
        </w:rPr>
        <w:sectPr w:rsidR="00260572" w:rsidRPr="00561476" w:rsidSect="000F75B3">
          <w:headerReference w:type="default" r:id="rId9"/>
          <w:footerReference w:type="default" r:id="rId10"/>
          <w:pgSz w:w="12240" w:h="15840"/>
          <w:pgMar w:top="1440" w:right="1440" w:bottom="1440" w:left="1440" w:header="720" w:footer="720" w:gutter="0"/>
          <w:cols w:num="2" w:sep="1" w:space="720" w:equalWidth="0">
            <w:col w:w="2880" w:space="720"/>
            <w:col w:w="5760"/>
          </w:cols>
          <w:docGrid w:linePitch="360"/>
        </w:sectPr>
      </w:pPr>
    </w:p>
    <w:p w:rsidR="00B35867" w:rsidRDefault="00B35867" w:rsidP="000D25B0">
      <w:pPr>
        <w:spacing w:after="120" w:line="240" w:lineRule="auto"/>
        <w:rPr>
          <w:rFonts w:ascii="Roboto" w:hAnsi="Roboto" w:cstheme="minorHAnsi"/>
          <w:b/>
          <w:sz w:val="24"/>
          <w:szCs w:val="24"/>
        </w:rPr>
      </w:pPr>
    </w:p>
    <w:p w:rsidR="00260572" w:rsidRPr="00561476" w:rsidRDefault="00991E89" w:rsidP="000D25B0">
      <w:pPr>
        <w:spacing w:after="120" w:line="240" w:lineRule="auto"/>
        <w:rPr>
          <w:rFonts w:ascii="Roboto" w:hAnsi="Roboto" w:cstheme="minorHAnsi"/>
          <w:b/>
          <w:sz w:val="24"/>
          <w:szCs w:val="24"/>
        </w:rPr>
      </w:pPr>
      <w:r w:rsidRPr="00561476">
        <w:rPr>
          <w:rFonts w:ascii="Roboto" w:hAnsi="Roboto" w:cstheme="minorHAnsi"/>
          <w:b/>
          <w:sz w:val="24"/>
          <w:szCs w:val="24"/>
        </w:rPr>
        <w:lastRenderedPageBreak/>
        <w:t>Professional Experience</w:t>
      </w:r>
    </w:p>
    <w:p w:rsidR="00991E89" w:rsidRPr="00561476" w:rsidRDefault="00991E89" w:rsidP="000D25B0">
      <w:pPr>
        <w:pStyle w:val="ListParagraph"/>
        <w:numPr>
          <w:ilvl w:val="0"/>
          <w:numId w:val="5"/>
        </w:numPr>
        <w:spacing w:after="120" w:line="240" w:lineRule="auto"/>
        <w:rPr>
          <w:rFonts w:ascii="Roboto" w:hAnsi="Roboto" w:cstheme="minorHAnsi"/>
        </w:rPr>
      </w:pPr>
      <w:r w:rsidRPr="00561476">
        <w:rPr>
          <w:rFonts w:ascii="Roboto" w:hAnsi="Roboto" w:cstheme="minorHAnsi"/>
        </w:rPr>
        <w:t>Pratt &amp; Whitney Aircraft</w:t>
      </w:r>
    </w:p>
    <w:p w:rsidR="00991E89" w:rsidRPr="00561476" w:rsidRDefault="00991E89" w:rsidP="000D25B0">
      <w:pPr>
        <w:pStyle w:val="ListParagraph"/>
        <w:spacing w:after="120" w:line="240" w:lineRule="auto"/>
        <w:rPr>
          <w:rFonts w:ascii="Roboto" w:hAnsi="Roboto" w:cstheme="minorHAnsi"/>
        </w:rPr>
      </w:pPr>
      <w:r w:rsidRPr="00561476">
        <w:rPr>
          <w:rFonts w:ascii="Roboto" w:hAnsi="Roboto" w:cstheme="minorHAnsi"/>
        </w:rPr>
        <w:t>East Hartford, Connecticut</w:t>
      </w:r>
    </w:p>
    <w:p w:rsidR="00991E89" w:rsidRPr="00561476" w:rsidRDefault="00991E89" w:rsidP="000D25B0">
      <w:pPr>
        <w:pStyle w:val="ListParagraph"/>
        <w:spacing w:after="120" w:line="240" w:lineRule="auto"/>
        <w:rPr>
          <w:rFonts w:ascii="Roboto" w:hAnsi="Roboto" w:cstheme="minorHAnsi"/>
        </w:rPr>
      </w:pPr>
      <w:r w:rsidRPr="00561476">
        <w:rPr>
          <w:rFonts w:ascii="Roboto" w:hAnsi="Roboto" w:cstheme="minorHAnsi"/>
        </w:rPr>
        <w:t>Engineer, jet engine development</w:t>
      </w:r>
    </w:p>
    <w:p w:rsidR="00991E89" w:rsidRPr="00561476" w:rsidRDefault="00991E89" w:rsidP="000D25B0">
      <w:pPr>
        <w:spacing w:after="120" w:line="240" w:lineRule="auto"/>
        <w:rPr>
          <w:rFonts w:ascii="Roboto" w:hAnsi="Roboto" w:cstheme="minorHAnsi"/>
          <w:b/>
          <w:sz w:val="24"/>
          <w:szCs w:val="24"/>
        </w:rPr>
      </w:pPr>
      <w:r w:rsidRPr="00561476">
        <w:rPr>
          <w:rFonts w:ascii="Roboto" w:hAnsi="Roboto" w:cstheme="minorHAnsi"/>
          <w:b/>
          <w:sz w:val="24"/>
          <w:szCs w:val="24"/>
        </w:rPr>
        <w:t>Professional Activities</w:t>
      </w:r>
    </w:p>
    <w:p w:rsidR="00991E89" w:rsidRPr="00561476" w:rsidRDefault="00991E89" w:rsidP="000D25B0">
      <w:pPr>
        <w:pStyle w:val="ListParagraph"/>
        <w:numPr>
          <w:ilvl w:val="0"/>
          <w:numId w:val="5"/>
        </w:numPr>
        <w:spacing w:after="120" w:line="240" w:lineRule="auto"/>
        <w:rPr>
          <w:rFonts w:ascii="Roboto" w:hAnsi="Roboto" w:cstheme="minorHAnsi"/>
        </w:rPr>
      </w:pPr>
      <w:r w:rsidRPr="00561476">
        <w:rPr>
          <w:rFonts w:ascii="Roboto" w:hAnsi="Roboto" w:cstheme="minorHAnsi"/>
        </w:rPr>
        <w:t>Vice Chair, Federal Circuit Bar Association, PTAB–TTAB Committee</w:t>
      </w:r>
    </w:p>
    <w:p w:rsidR="00991E89" w:rsidRPr="00561476" w:rsidRDefault="00991E89" w:rsidP="000D25B0">
      <w:pPr>
        <w:pStyle w:val="ListParagraph"/>
        <w:numPr>
          <w:ilvl w:val="0"/>
          <w:numId w:val="5"/>
        </w:numPr>
        <w:spacing w:after="120" w:line="240" w:lineRule="auto"/>
        <w:rPr>
          <w:rFonts w:ascii="Roboto" w:hAnsi="Roboto" w:cstheme="minorHAnsi"/>
        </w:rPr>
      </w:pPr>
      <w:r w:rsidRPr="00561476">
        <w:rPr>
          <w:rFonts w:ascii="Roboto" w:hAnsi="Roboto" w:cstheme="minorHAnsi"/>
        </w:rPr>
        <w:t>Former Vice Chair, Federal Circuit Bar Association, Patent and Trademark Office Committee</w:t>
      </w:r>
    </w:p>
    <w:p w:rsidR="00991E89" w:rsidRPr="00561476" w:rsidRDefault="00991E89" w:rsidP="000D25B0">
      <w:pPr>
        <w:pStyle w:val="ListParagraph"/>
        <w:numPr>
          <w:ilvl w:val="0"/>
          <w:numId w:val="5"/>
        </w:numPr>
        <w:spacing w:after="120" w:line="240" w:lineRule="auto"/>
        <w:rPr>
          <w:rFonts w:ascii="Roboto" w:hAnsi="Roboto" w:cstheme="minorHAnsi"/>
        </w:rPr>
      </w:pPr>
      <w:r w:rsidRPr="00561476">
        <w:rPr>
          <w:rFonts w:ascii="Roboto" w:hAnsi="Roboto" w:cstheme="minorHAnsi"/>
        </w:rPr>
        <w:t>Board of Directors (President), Seattle Intellectual Property American Inn of Court</w:t>
      </w:r>
    </w:p>
    <w:p w:rsidR="00991E89" w:rsidRPr="00561476" w:rsidRDefault="00991E89" w:rsidP="000D25B0">
      <w:pPr>
        <w:spacing w:after="120" w:line="240" w:lineRule="auto"/>
        <w:rPr>
          <w:rFonts w:ascii="Roboto" w:hAnsi="Roboto" w:cstheme="minorHAnsi"/>
          <w:b/>
          <w:sz w:val="24"/>
          <w:szCs w:val="24"/>
        </w:rPr>
      </w:pPr>
      <w:r w:rsidRPr="00561476">
        <w:rPr>
          <w:rFonts w:ascii="Roboto" w:hAnsi="Roboto" w:cstheme="minorHAnsi"/>
          <w:b/>
          <w:sz w:val="24"/>
          <w:szCs w:val="24"/>
        </w:rPr>
        <w:t>Honors &amp; Awards</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2008 – 2018 </w:t>
      </w:r>
      <w:r w:rsidRPr="00561476">
        <w:rPr>
          <w:rFonts w:ascii="Roboto" w:hAnsi="Roboto" w:cstheme="minorHAnsi"/>
          <w:i/>
          <w:szCs w:val="20"/>
        </w:rPr>
        <w:t>The Best Lawyers in America©,</w:t>
      </w:r>
      <w:r w:rsidRPr="00561476">
        <w:rPr>
          <w:rFonts w:ascii="Roboto" w:hAnsi="Roboto" w:cstheme="minorHAnsi"/>
          <w:szCs w:val="20"/>
        </w:rPr>
        <w:t xml:space="preserve"> Portland, OR, IP Litigation and Patent Litigation</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2012, 2013, and 2016 </w:t>
      </w:r>
      <w:r w:rsidRPr="00561476">
        <w:rPr>
          <w:rFonts w:ascii="Roboto" w:hAnsi="Roboto" w:cstheme="minorHAnsi"/>
          <w:i/>
          <w:szCs w:val="20"/>
        </w:rPr>
        <w:t>The Best Lawyers in America©</w:t>
      </w:r>
      <w:r w:rsidRPr="00561476">
        <w:rPr>
          <w:rFonts w:ascii="Roboto" w:hAnsi="Roboto" w:cstheme="minorHAnsi"/>
          <w:szCs w:val="20"/>
        </w:rPr>
        <w:t>, Portland, OR, Patent Litigation Lawyer of the Year</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2011, 2012, and 2015 </w:t>
      </w:r>
      <w:r w:rsidRPr="00561476">
        <w:rPr>
          <w:rFonts w:ascii="Roboto" w:hAnsi="Roboto" w:cstheme="minorHAnsi"/>
          <w:i/>
          <w:szCs w:val="20"/>
        </w:rPr>
        <w:t>The Best Lawyers in America©,</w:t>
      </w:r>
      <w:r w:rsidRPr="00561476">
        <w:rPr>
          <w:rFonts w:ascii="Roboto" w:hAnsi="Roboto" w:cstheme="minorHAnsi"/>
          <w:szCs w:val="20"/>
        </w:rPr>
        <w:t xml:space="preserve"> Portland, OR, IP Litigation Lawyer of the Year</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2006 – 2017 </w:t>
      </w:r>
      <w:r w:rsidRPr="00561476">
        <w:rPr>
          <w:rFonts w:ascii="Roboto" w:hAnsi="Roboto" w:cstheme="minorHAnsi"/>
          <w:i/>
          <w:szCs w:val="20"/>
        </w:rPr>
        <w:t>Oregon Super Lawyers®</w:t>
      </w:r>
    </w:p>
    <w:p w:rsidR="00991E89" w:rsidRPr="00561476" w:rsidRDefault="00561476" w:rsidP="000D25B0">
      <w:pPr>
        <w:pStyle w:val="ListParagraph"/>
        <w:numPr>
          <w:ilvl w:val="0"/>
          <w:numId w:val="5"/>
        </w:numPr>
        <w:spacing w:after="120" w:line="240" w:lineRule="auto"/>
        <w:rPr>
          <w:rFonts w:ascii="Roboto" w:hAnsi="Roboto" w:cstheme="minorHAnsi"/>
          <w:szCs w:val="20"/>
        </w:rPr>
      </w:pPr>
      <w:r>
        <w:rPr>
          <w:rFonts w:ascii="Roboto" w:hAnsi="Roboto" w:cstheme="minorHAnsi"/>
          <w:szCs w:val="20"/>
        </w:rPr>
        <w:t>2010 – 2018</w:t>
      </w:r>
      <w:r w:rsidR="00991E89" w:rsidRPr="00561476">
        <w:rPr>
          <w:rFonts w:ascii="Roboto" w:hAnsi="Roboto" w:cstheme="minorHAnsi"/>
          <w:szCs w:val="20"/>
        </w:rPr>
        <w:t xml:space="preserve"> Ranked in </w:t>
      </w:r>
      <w:r w:rsidR="00991E89" w:rsidRPr="00561476">
        <w:rPr>
          <w:rFonts w:ascii="Roboto" w:hAnsi="Roboto" w:cstheme="minorHAnsi"/>
          <w:i/>
          <w:szCs w:val="20"/>
        </w:rPr>
        <w:t>Chambers USA</w:t>
      </w:r>
      <w:r w:rsidR="00991E89" w:rsidRPr="00561476">
        <w:rPr>
          <w:rFonts w:ascii="Roboto" w:hAnsi="Roboto" w:cstheme="minorHAnsi"/>
          <w:szCs w:val="20"/>
        </w:rPr>
        <w:t>, Oregon, Intellectual Property</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2014 – 2017 </w:t>
      </w:r>
      <w:r w:rsidRPr="00561476">
        <w:rPr>
          <w:rFonts w:ascii="Roboto" w:hAnsi="Roboto" w:cstheme="minorHAnsi"/>
          <w:i/>
          <w:szCs w:val="20"/>
        </w:rPr>
        <w:t>IAM Patent 1000: The World’s Leading Patent Professionals</w:t>
      </w:r>
    </w:p>
    <w:p w:rsidR="00991E89" w:rsidRPr="00561476" w:rsidRDefault="00991E89" w:rsidP="000D25B0">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2014, 2015 </w:t>
      </w:r>
      <w:r w:rsidRPr="00561476">
        <w:rPr>
          <w:rFonts w:ascii="Roboto" w:hAnsi="Roboto" w:cstheme="minorHAnsi"/>
          <w:i/>
          <w:szCs w:val="20"/>
        </w:rPr>
        <w:t>IP Stars</w:t>
      </w:r>
      <w:r w:rsidRPr="00561476">
        <w:rPr>
          <w:rFonts w:ascii="Roboto" w:hAnsi="Roboto" w:cstheme="minorHAnsi"/>
          <w:szCs w:val="20"/>
        </w:rPr>
        <w:t>, Managing IP Magazine</w:t>
      </w:r>
    </w:p>
    <w:p w:rsidR="0035637E" w:rsidRPr="0035637E" w:rsidRDefault="00991E89" w:rsidP="0035637E">
      <w:pPr>
        <w:pStyle w:val="ListParagraph"/>
        <w:numPr>
          <w:ilvl w:val="0"/>
          <w:numId w:val="5"/>
        </w:numPr>
        <w:spacing w:after="120" w:line="240" w:lineRule="auto"/>
        <w:rPr>
          <w:rFonts w:ascii="Roboto" w:hAnsi="Roboto" w:cstheme="minorHAnsi"/>
          <w:szCs w:val="20"/>
        </w:rPr>
      </w:pPr>
      <w:r w:rsidRPr="00561476">
        <w:rPr>
          <w:rFonts w:ascii="Roboto" w:hAnsi="Roboto" w:cstheme="minorHAnsi"/>
          <w:szCs w:val="20"/>
        </w:rPr>
        <w:t xml:space="preserve">2014 </w:t>
      </w:r>
      <w:proofErr w:type="spellStart"/>
      <w:r w:rsidRPr="00561476">
        <w:rPr>
          <w:rFonts w:ascii="Roboto" w:hAnsi="Roboto" w:cstheme="minorHAnsi"/>
          <w:i/>
          <w:szCs w:val="20"/>
        </w:rPr>
        <w:t>BTI</w:t>
      </w:r>
      <w:proofErr w:type="spellEnd"/>
      <w:r w:rsidRPr="00561476">
        <w:rPr>
          <w:rFonts w:ascii="Roboto" w:hAnsi="Roboto" w:cstheme="minorHAnsi"/>
          <w:i/>
          <w:szCs w:val="20"/>
        </w:rPr>
        <w:t xml:space="preserve"> Client Service All-Star</w:t>
      </w:r>
    </w:p>
    <w:p w:rsidR="0035637E" w:rsidRPr="00561476" w:rsidRDefault="0035637E" w:rsidP="0035637E">
      <w:pPr>
        <w:spacing w:after="120" w:line="240" w:lineRule="auto"/>
        <w:rPr>
          <w:rFonts w:ascii="Roboto" w:hAnsi="Roboto" w:cstheme="minorHAnsi"/>
          <w:b/>
          <w:sz w:val="24"/>
          <w:szCs w:val="24"/>
        </w:rPr>
      </w:pPr>
      <w:r>
        <w:rPr>
          <w:rFonts w:ascii="Roboto" w:hAnsi="Roboto" w:cstheme="minorHAnsi"/>
          <w:b/>
          <w:sz w:val="24"/>
          <w:szCs w:val="24"/>
        </w:rPr>
        <w:t>Representative Cases</w:t>
      </w:r>
    </w:p>
    <w:p w:rsidR="0035637E" w:rsidRPr="0035637E" w:rsidRDefault="0035637E" w:rsidP="0035637E">
      <w:pPr>
        <w:pStyle w:val="ListParagraph"/>
        <w:numPr>
          <w:ilvl w:val="0"/>
          <w:numId w:val="5"/>
        </w:numPr>
        <w:spacing w:after="120" w:line="240" w:lineRule="auto"/>
        <w:rPr>
          <w:rStyle w:val="Emphasis"/>
          <w:rFonts w:ascii="Roboto" w:hAnsi="Roboto" w:cstheme="minorHAnsi"/>
          <w:i w:val="0"/>
          <w:iCs w:val="0"/>
        </w:rPr>
      </w:pPr>
      <w:proofErr w:type="spellStart"/>
      <w:r w:rsidRPr="00841A4A">
        <w:rPr>
          <w:rStyle w:val="Emphasis"/>
          <w:rFonts w:ascii="Roboto" w:eastAsia="Times New Roman" w:hAnsi="Roboto" w:cs="Arial"/>
          <w:color w:val="333333"/>
        </w:rPr>
        <w:t>Biosig</w:t>
      </w:r>
      <w:proofErr w:type="spellEnd"/>
      <w:r w:rsidRPr="00841A4A">
        <w:rPr>
          <w:rStyle w:val="Emphasis"/>
          <w:rFonts w:ascii="Roboto" w:eastAsia="Times New Roman" w:hAnsi="Roboto" w:cs="Arial"/>
          <w:color w:val="333333"/>
        </w:rPr>
        <w:t xml:space="preserve"> Instruments, Inc. v. </w:t>
      </w:r>
      <w:r w:rsidRPr="00841A4A">
        <w:rPr>
          <w:rStyle w:val="Emphasis"/>
          <w:rFonts w:ascii="Roboto" w:eastAsia="Times New Roman" w:hAnsi="Roboto" w:cs="Arial"/>
          <w:color w:val="333333"/>
          <w:u w:val="single"/>
        </w:rPr>
        <w:t>Nautilus, Inc</w:t>
      </w:r>
      <w:r w:rsidRPr="00841A4A">
        <w:rPr>
          <w:rStyle w:val="Emphasis"/>
          <w:rFonts w:ascii="Roboto" w:eastAsia="Times New Roman" w:hAnsi="Roboto" w:cs="Arial"/>
          <w:color w:val="333333"/>
        </w:rPr>
        <w:t>. No. 13-369 (S. Ct.</w:t>
      </w:r>
      <w:r>
        <w:rPr>
          <w:rStyle w:val="Emphasis"/>
          <w:rFonts w:ascii="Roboto" w:eastAsia="Times New Roman" w:hAnsi="Roboto" w:cs="Arial"/>
          <w:color w:val="333333"/>
        </w:rPr>
        <w:t xml:space="preserve">): </w:t>
      </w:r>
      <w:r w:rsidRPr="0035637E">
        <w:rPr>
          <w:rStyle w:val="Emphasis"/>
          <w:rFonts w:ascii="Roboto" w:eastAsia="Times New Roman" w:hAnsi="Roboto" w:cs="Arial"/>
          <w:i w:val="0"/>
          <w:color w:val="333333"/>
        </w:rPr>
        <w:t>Argued before the United States Supreme Court to reject the Federal Circuit’s lenient standard for definiteness. The Supreme Court unanimously held that the standard for definiteness applied by the Federal Circuit was too liberal. And it articulated that patent claims are indefinite if “read in light of the specification delineating the patent, and the prosecution history, fail to inform, with reasonable certainty, those skilled in the art about the scope of the invention.”  The asserted patent involved heart rate monitor technology.</w:t>
      </w:r>
    </w:p>
    <w:p w:rsidR="0035637E" w:rsidRPr="0035637E" w:rsidRDefault="0035637E" w:rsidP="0035637E">
      <w:pPr>
        <w:pStyle w:val="ListParagraph"/>
        <w:numPr>
          <w:ilvl w:val="0"/>
          <w:numId w:val="5"/>
        </w:numPr>
        <w:spacing w:after="120" w:line="240" w:lineRule="auto"/>
        <w:rPr>
          <w:rFonts w:ascii="Roboto" w:hAnsi="Roboto" w:cstheme="minorHAnsi"/>
        </w:rPr>
      </w:pPr>
      <w:r w:rsidRPr="0035637E">
        <w:rPr>
          <w:rStyle w:val="Emphasis"/>
          <w:rFonts w:ascii="Roboto" w:hAnsi="Roboto" w:cs="Arial"/>
          <w:color w:val="333333"/>
        </w:rPr>
        <w:t xml:space="preserve">Synopsys, Inc. v. </w:t>
      </w:r>
      <w:r w:rsidRPr="0035637E">
        <w:rPr>
          <w:rStyle w:val="Emphasis"/>
          <w:rFonts w:ascii="Roboto" w:hAnsi="Roboto" w:cs="Arial"/>
          <w:color w:val="333333"/>
          <w:u w:val="single"/>
        </w:rPr>
        <w:t>Mentor Graphics, Inc.</w:t>
      </w:r>
      <w:r w:rsidRPr="0035637E">
        <w:rPr>
          <w:rFonts w:ascii="Roboto" w:hAnsi="Roboto" w:cs="Arial"/>
          <w:color w:val="333333"/>
        </w:rPr>
        <w:t xml:space="preserve">, Case No. 12-cv-06467 (N.D. Cal.): Represented EDA </w:t>
      </w:r>
      <w:proofErr w:type="gramStart"/>
      <w:r w:rsidRPr="0035637E">
        <w:rPr>
          <w:rFonts w:ascii="Roboto" w:hAnsi="Roboto" w:cs="Arial"/>
          <w:color w:val="333333"/>
        </w:rPr>
        <w:t>company</w:t>
      </w:r>
      <w:proofErr w:type="gramEnd"/>
      <w:r w:rsidRPr="0035637E">
        <w:rPr>
          <w:rFonts w:ascii="Roboto" w:hAnsi="Roboto" w:cs="Arial"/>
          <w:color w:val="333333"/>
        </w:rPr>
        <w:t xml:space="preserve"> in competitor multi-patent litigation. Argued and won partial summary judgment of patent invalidity under Section 101.  </w:t>
      </w:r>
    </w:p>
    <w:p w:rsidR="0035637E" w:rsidRDefault="0035637E" w:rsidP="0035637E">
      <w:pPr>
        <w:pStyle w:val="ListParagraph"/>
        <w:numPr>
          <w:ilvl w:val="0"/>
          <w:numId w:val="5"/>
        </w:numPr>
        <w:spacing w:after="120" w:line="240" w:lineRule="auto"/>
        <w:rPr>
          <w:rFonts w:ascii="Roboto" w:hAnsi="Roboto" w:cstheme="minorHAnsi"/>
        </w:rPr>
      </w:pPr>
      <w:r w:rsidRPr="0035637E">
        <w:rPr>
          <w:rFonts w:ascii="Roboto" w:eastAsia="Times New Roman" w:hAnsi="Roboto" w:cs="Arial"/>
          <w:i/>
          <w:iCs/>
          <w:color w:val="333333"/>
        </w:rPr>
        <w:t xml:space="preserve">Metasearch Systems, LLC v. </w:t>
      </w:r>
      <w:r w:rsidRPr="0035637E">
        <w:rPr>
          <w:rFonts w:ascii="Roboto" w:eastAsia="Times New Roman" w:hAnsi="Roboto" w:cs="Arial"/>
          <w:i/>
          <w:iCs/>
          <w:color w:val="333333"/>
          <w:u w:val="single"/>
        </w:rPr>
        <w:t>Priceline.com, Travelocity.com, Expedia, Orbitz, &amp; American Express,</w:t>
      </w:r>
      <w:r w:rsidRPr="0035637E">
        <w:rPr>
          <w:rFonts w:ascii="Roboto" w:eastAsia="Times New Roman" w:hAnsi="Roboto" w:cs="Arial"/>
          <w:color w:val="333333"/>
        </w:rPr>
        <w:t xml:space="preserve"> Case Nos. 12-cv-01188, 12-cv-01189, 12-cv-1190, 12-cv-01191, 12-cv-01223, 12-cv-01225 (D. Del.): Defended group of on-line travel companies against seven patents related to </w:t>
      </w:r>
      <w:proofErr w:type="spellStart"/>
      <w:r w:rsidRPr="0035637E">
        <w:rPr>
          <w:rFonts w:ascii="Roboto" w:eastAsia="Times New Roman" w:hAnsi="Roboto" w:cs="Arial"/>
          <w:color w:val="333333"/>
        </w:rPr>
        <w:t>metasearching</w:t>
      </w:r>
      <w:proofErr w:type="spellEnd"/>
      <w:r w:rsidRPr="0035637E">
        <w:rPr>
          <w:rFonts w:ascii="Roboto" w:eastAsia="Times New Roman" w:hAnsi="Roboto" w:cs="Arial"/>
          <w:color w:val="333333"/>
        </w:rPr>
        <w:t xml:space="preserve">. Successfully argued Covered Business Method patent review trials instituted by the Patent Trial &amp; Appeal Board, which found all claims </w:t>
      </w:r>
      <w:proofErr w:type="spellStart"/>
      <w:r w:rsidRPr="0035637E">
        <w:rPr>
          <w:rFonts w:ascii="Roboto" w:eastAsia="Times New Roman" w:hAnsi="Roboto" w:cs="Arial"/>
          <w:color w:val="333333"/>
        </w:rPr>
        <w:t>unpatentable</w:t>
      </w:r>
      <w:proofErr w:type="spellEnd"/>
      <w:r w:rsidRPr="0035637E">
        <w:rPr>
          <w:rFonts w:ascii="Roboto" w:eastAsia="Times New Roman" w:hAnsi="Roboto" w:cs="Arial"/>
          <w:color w:val="333333"/>
        </w:rPr>
        <w:t>, resulting in dismissal of the lawsuit.</w:t>
      </w:r>
    </w:p>
    <w:p w:rsidR="00EB0894" w:rsidRPr="00EB0894" w:rsidRDefault="0035637E" w:rsidP="00EB0894">
      <w:pPr>
        <w:pStyle w:val="ListParagraph"/>
        <w:numPr>
          <w:ilvl w:val="0"/>
          <w:numId w:val="5"/>
        </w:numPr>
        <w:spacing w:after="120" w:line="240" w:lineRule="auto"/>
        <w:rPr>
          <w:rFonts w:ascii="Roboto" w:hAnsi="Roboto" w:cstheme="minorHAnsi"/>
        </w:rPr>
      </w:pPr>
      <w:r w:rsidRPr="0035637E">
        <w:rPr>
          <w:rFonts w:ascii="Roboto" w:eastAsia="Times New Roman" w:hAnsi="Roboto" w:cs="Arial"/>
          <w:i/>
          <w:iCs/>
          <w:color w:val="333333"/>
        </w:rPr>
        <w:t xml:space="preserve">A Pty LTD v. </w:t>
      </w:r>
      <w:r w:rsidRPr="0035637E">
        <w:rPr>
          <w:rFonts w:ascii="Roboto" w:eastAsia="Times New Roman" w:hAnsi="Roboto" w:cs="Arial"/>
          <w:i/>
          <w:iCs/>
          <w:color w:val="333333"/>
          <w:u w:val="single"/>
        </w:rPr>
        <w:t>eBay</w:t>
      </w:r>
      <w:r w:rsidRPr="0035637E">
        <w:rPr>
          <w:rFonts w:ascii="Roboto" w:eastAsia="Times New Roman" w:hAnsi="Roboto" w:cs="Arial"/>
          <w:i/>
          <w:iCs/>
          <w:color w:val="333333"/>
        </w:rPr>
        <w:t xml:space="preserve">, et al., </w:t>
      </w:r>
      <w:r w:rsidRPr="0035637E">
        <w:rPr>
          <w:rFonts w:ascii="Roboto" w:eastAsia="Times New Roman" w:hAnsi="Roboto" w:cs="Arial"/>
          <w:iCs/>
          <w:color w:val="333333"/>
        </w:rPr>
        <w:t>Case No. 15-cv-00155 (</w:t>
      </w:r>
      <w:proofErr w:type="spellStart"/>
      <w:r w:rsidRPr="0035637E">
        <w:rPr>
          <w:rFonts w:ascii="Roboto" w:eastAsia="Times New Roman" w:hAnsi="Roboto" w:cs="Arial"/>
          <w:iCs/>
          <w:color w:val="333333"/>
        </w:rPr>
        <w:t>W.D</w:t>
      </w:r>
      <w:proofErr w:type="spellEnd"/>
      <w:r w:rsidRPr="0035637E">
        <w:rPr>
          <w:rFonts w:ascii="Roboto" w:eastAsia="Times New Roman" w:hAnsi="Roboto" w:cs="Arial"/>
          <w:iCs/>
          <w:color w:val="333333"/>
        </w:rPr>
        <w:t xml:space="preserve">. Tex.): Represented eBay on case involving email communication systems.  The complaint was dismissed on a Rule 12 motion, as the Court found the asserted patent invalid as claiming </w:t>
      </w:r>
      <w:proofErr w:type="spellStart"/>
      <w:r w:rsidRPr="0035637E">
        <w:rPr>
          <w:rFonts w:ascii="Roboto" w:eastAsia="Times New Roman" w:hAnsi="Roboto" w:cs="Arial"/>
          <w:iCs/>
          <w:color w:val="333333"/>
        </w:rPr>
        <w:t>unpatentable</w:t>
      </w:r>
      <w:proofErr w:type="spellEnd"/>
      <w:r w:rsidRPr="0035637E">
        <w:rPr>
          <w:rFonts w:ascii="Roboto" w:eastAsia="Times New Roman" w:hAnsi="Roboto" w:cs="Arial"/>
          <w:iCs/>
          <w:color w:val="333333"/>
        </w:rPr>
        <w:t xml:space="preserve"> subject matter, under Section 101.</w:t>
      </w:r>
    </w:p>
    <w:p w:rsidR="00EB0894" w:rsidRPr="00EB0894" w:rsidRDefault="00EB0894" w:rsidP="00EB0894">
      <w:pPr>
        <w:pStyle w:val="ListParagraph"/>
        <w:numPr>
          <w:ilvl w:val="0"/>
          <w:numId w:val="5"/>
        </w:numPr>
        <w:spacing w:after="120" w:line="240" w:lineRule="auto"/>
        <w:rPr>
          <w:rFonts w:ascii="Roboto" w:hAnsi="Roboto" w:cstheme="minorHAnsi"/>
        </w:rPr>
      </w:pPr>
      <w:proofErr w:type="spellStart"/>
      <w:r w:rsidRPr="00EB0894">
        <w:rPr>
          <w:rFonts w:ascii="Roboto" w:eastAsia="Times New Roman" w:hAnsi="Roboto" w:cs="Arial"/>
          <w:i/>
          <w:iCs/>
          <w:color w:val="333333"/>
        </w:rPr>
        <w:t>Grupo</w:t>
      </w:r>
      <w:proofErr w:type="spellEnd"/>
      <w:r w:rsidRPr="00EB0894">
        <w:rPr>
          <w:rFonts w:ascii="Roboto" w:eastAsia="Times New Roman" w:hAnsi="Roboto" w:cs="Arial"/>
          <w:i/>
          <w:iCs/>
          <w:color w:val="333333"/>
        </w:rPr>
        <w:t xml:space="preserve"> Bimbo </w:t>
      </w:r>
      <w:proofErr w:type="spellStart"/>
      <w:r w:rsidRPr="00EB0894">
        <w:rPr>
          <w:rFonts w:ascii="Roboto" w:eastAsia="Times New Roman" w:hAnsi="Roboto" w:cs="Arial"/>
          <w:i/>
          <w:iCs/>
          <w:color w:val="333333"/>
        </w:rPr>
        <w:t>S.A.B</w:t>
      </w:r>
      <w:proofErr w:type="spellEnd"/>
      <w:r w:rsidRPr="00EB0894">
        <w:rPr>
          <w:rFonts w:ascii="Roboto" w:eastAsia="Times New Roman" w:hAnsi="Roboto" w:cs="Arial"/>
          <w:i/>
          <w:iCs/>
          <w:color w:val="333333"/>
        </w:rPr>
        <w:t xml:space="preserve">. de C.V., et al. v. </w:t>
      </w:r>
      <w:proofErr w:type="spellStart"/>
      <w:r w:rsidRPr="00EB0894">
        <w:rPr>
          <w:rFonts w:ascii="Roboto" w:eastAsia="Times New Roman" w:hAnsi="Roboto" w:cs="Arial"/>
          <w:i/>
          <w:iCs/>
          <w:color w:val="333333"/>
          <w:u w:val="single"/>
        </w:rPr>
        <w:t>Snak</w:t>
      </w:r>
      <w:proofErr w:type="spellEnd"/>
      <w:r w:rsidRPr="00EB0894">
        <w:rPr>
          <w:rFonts w:ascii="Roboto" w:eastAsia="Times New Roman" w:hAnsi="Roboto" w:cs="Arial"/>
          <w:i/>
          <w:iCs/>
          <w:color w:val="333333"/>
          <w:u w:val="single"/>
        </w:rPr>
        <w:t xml:space="preserve"> King Corp., et al.</w:t>
      </w:r>
      <w:r w:rsidRPr="00EB0894">
        <w:rPr>
          <w:rFonts w:ascii="Roboto" w:eastAsia="Times New Roman" w:hAnsi="Roboto" w:cs="Arial"/>
          <w:iCs/>
          <w:color w:val="333333"/>
        </w:rPr>
        <w:t>,</w:t>
      </w:r>
      <w:r w:rsidRPr="00EB0894">
        <w:rPr>
          <w:rFonts w:ascii="Roboto" w:eastAsia="Times New Roman" w:hAnsi="Roboto" w:cs="Arial"/>
          <w:color w:val="333333"/>
        </w:rPr>
        <w:t xml:space="preserve"> </w:t>
      </w:r>
      <w:r w:rsidRPr="00EB0894">
        <w:rPr>
          <w:rFonts w:ascii="Roboto" w:eastAsia="Times New Roman" w:hAnsi="Roboto" w:cs="Arial"/>
          <w:iCs/>
          <w:color w:val="333333"/>
        </w:rPr>
        <w:t xml:space="preserve">Case No. </w:t>
      </w:r>
      <w:r w:rsidRPr="00EB0894">
        <w:rPr>
          <w:rFonts w:ascii="Roboto" w:eastAsia="Times New Roman" w:hAnsi="Roboto" w:cs="Arial"/>
          <w:color w:val="333333"/>
        </w:rPr>
        <w:t xml:space="preserve">13-cv-02147 (C.D. Cal.): Defended </w:t>
      </w:r>
      <w:proofErr w:type="spellStart"/>
      <w:r w:rsidRPr="00EB0894">
        <w:rPr>
          <w:rFonts w:ascii="Roboto" w:eastAsia="Times New Roman" w:hAnsi="Roboto" w:cs="Arial"/>
          <w:color w:val="333333"/>
        </w:rPr>
        <w:t>Snak</w:t>
      </w:r>
      <w:proofErr w:type="spellEnd"/>
      <w:r w:rsidRPr="00EB0894">
        <w:rPr>
          <w:rFonts w:ascii="Roboto" w:eastAsia="Times New Roman" w:hAnsi="Roboto" w:cs="Arial"/>
          <w:color w:val="333333"/>
        </w:rPr>
        <w:t xml:space="preserve"> King against large Mexican corporation asserting trademarks, </w:t>
      </w:r>
      <w:r w:rsidRPr="00EB0894">
        <w:rPr>
          <w:rFonts w:ascii="Roboto" w:eastAsia="Times New Roman" w:hAnsi="Roboto" w:cs="Arial"/>
          <w:color w:val="333333"/>
        </w:rPr>
        <w:lastRenderedPageBreak/>
        <w:t xml:space="preserve">trade dress, and patents related to rolled tortilla chips. After </w:t>
      </w:r>
      <w:proofErr w:type="spellStart"/>
      <w:r w:rsidRPr="00EB0894">
        <w:rPr>
          <w:rFonts w:ascii="Roboto" w:eastAsia="Times New Roman" w:hAnsi="Roboto" w:cs="Arial"/>
          <w:color w:val="333333"/>
        </w:rPr>
        <w:t>Snak</w:t>
      </w:r>
      <w:proofErr w:type="spellEnd"/>
      <w:r w:rsidRPr="00EB0894">
        <w:rPr>
          <w:rFonts w:ascii="Roboto" w:eastAsia="Times New Roman" w:hAnsi="Roboto" w:cs="Arial"/>
          <w:color w:val="333333"/>
        </w:rPr>
        <w:t xml:space="preserve"> King won claim construction on key patent claim terms and after Court held hearing on certain trademark issues, parties reached favorable </w:t>
      </w:r>
      <w:proofErr w:type="spellStart"/>
      <w:r w:rsidRPr="00EB0894">
        <w:rPr>
          <w:rFonts w:ascii="Roboto" w:eastAsia="Times New Roman" w:hAnsi="Roboto" w:cs="Arial"/>
          <w:color w:val="333333"/>
        </w:rPr>
        <w:t>settlement.</w:t>
      </w:r>
      <w:proofErr w:type="spellEnd"/>
    </w:p>
    <w:p w:rsidR="00EB0894" w:rsidRPr="00EB0894" w:rsidRDefault="00EB0894" w:rsidP="00EB0894">
      <w:pPr>
        <w:pStyle w:val="ListParagraph"/>
        <w:numPr>
          <w:ilvl w:val="0"/>
          <w:numId w:val="5"/>
        </w:numPr>
        <w:spacing w:after="120" w:line="240" w:lineRule="auto"/>
        <w:rPr>
          <w:rFonts w:ascii="Roboto" w:hAnsi="Roboto" w:cstheme="minorHAnsi"/>
        </w:rPr>
      </w:pPr>
      <w:proofErr w:type="spellStart"/>
      <w:r w:rsidRPr="00EB0894">
        <w:rPr>
          <w:rFonts w:ascii="Roboto" w:eastAsia="Times New Roman" w:hAnsi="Roboto" w:cs="Arial"/>
          <w:i/>
          <w:iCs/>
          <w:color w:val="333333"/>
        </w:rPr>
        <w:t>Realtime</w:t>
      </w:r>
      <w:proofErr w:type="spellEnd"/>
      <w:r w:rsidRPr="00EB0894">
        <w:rPr>
          <w:rFonts w:ascii="Roboto" w:eastAsia="Times New Roman" w:hAnsi="Roboto" w:cs="Arial"/>
          <w:i/>
          <w:iCs/>
          <w:color w:val="333333"/>
        </w:rPr>
        <w:t xml:space="preserve"> Data LLC d/b/a </w:t>
      </w:r>
      <w:proofErr w:type="spellStart"/>
      <w:r w:rsidRPr="00EB0894">
        <w:rPr>
          <w:rFonts w:ascii="Roboto" w:eastAsia="Times New Roman" w:hAnsi="Roboto" w:cs="Arial"/>
          <w:i/>
          <w:iCs/>
          <w:color w:val="333333"/>
        </w:rPr>
        <w:t>IXO</w:t>
      </w:r>
      <w:proofErr w:type="spellEnd"/>
      <w:r w:rsidRPr="00EB0894">
        <w:rPr>
          <w:rFonts w:ascii="Roboto" w:eastAsia="Times New Roman" w:hAnsi="Roboto" w:cs="Arial"/>
          <w:i/>
          <w:iCs/>
          <w:color w:val="333333"/>
        </w:rPr>
        <w:t xml:space="preserve"> v.</w:t>
      </w:r>
      <w:r w:rsidRPr="00EB0894">
        <w:rPr>
          <w:rFonts w:ascii="Roboto" w:eastAsia="Times New Roman" w:hAnsi="Roboto" w:cs="Arial"/>
          <w:color w:val="333333"/>
        </w:rPr>
        <w:t xml:space="preserve"> </w:t>
      </w:r>
      <w:r w:rsidRPr="00EB0894">
        <w:rPr>
          <w:rFonts w:ascii="Roboto" w:eastAsia="Times New Roman" w:hAnsi="Roboto" w:cs="Arial"/>
          <w:i/>
          <w:iCs/>
          <w:color w:val="333333"/>
          <w:u w:val="single"/>
        </w:rPr>
        <w:t>SAP America, Inc.</w:t>
      </w:r>
      <w:r w:rsidRPr="00EB0894">
        <w:rPr>
          <w:rFonts w:ascii="Roboto" w:eastAsia="Times New Roman" w:hAnsi="Roboto" w:cs="Arial"/>
          <w:i/>
          <w:iCs/>
          <w:color w:val="333333"/>
        </w:rPr>
        <w:t xml:space="preserve">, </w:t>
      </w:r>
      <w:r w:rsidRPr="00EB0894">
        <w:rPr>
          <w:rFonts w:ascii="Roboto" w:eastAsia="Times New Roman" w:hAnsi="Roboto" w:cs="Arial"/>
          <w:i/>
          <w:iCs/>
          <w:color w:val="333333"/>
          <w:u w:val="single"/>
        </w:rPr>
        <w:t>Sybase</w:t>
      </w:r>
      <w:r w:rsidRPr="00EB0894">
        <w:rPr>
          <w:rFonts w:ascii="Roboto" w:eastAsia="Times New Roman" w:hAnsi="Roboto" w:cs="Arial"/>
          <w:i/>
          <w:iCs/>
          <w:color w:val="333333"/>
        </w:rPr>
        <w:t xml:space="preserve">, </w:t>
      </w:r>
      <w:r w:rsidRPr="00EB0894">
        <w:rPr>
          <w:rFonts w:ascii="Roboto" w:eastAsia="Times New Roman" w:hAnsi="Roboto" w:cs="Arial"/>
          <w:i/>
          <w:iCs/>
          <w:color w:val="333333"/>
          <w:u w:val="single"/>
        </w:rPr>
        <w:t>Hewlett-Packard</w:t>
      </w:r>
      <w:r w:rsidRPr="00EB0894">
        <w:rPr>
          <w:rFonts w:ascii="Roboto" w:eastAsia="Times New Roman" w:hAnsi="Roboto" w:cs="Arial"/>
          <w:i/>
          <w:iCs/>
          <w:color w:val="333333"/>
        </w:rPr>
        <w:t xml:space="preserve">, &amp; </w:t>
      </w:r>
      <w:r w:rsidRPr="00EB0894">
        <w:rPr>
          <w:rFonts w:ascii="Roboto" w:eastAsia="Times New Roman" w:hAnsi="Roboto" w:cs="Arial"/>
          <w:i/>
          <w:iCs/>
          <w:color w:val="333333"/>
          <w:u w:val="single"/>
        </w:rPr>
        <w:t>Dell</w:t>
      </w:r>
      <w:r w:rsidRPr="00EB0894">
        <w:rPr>
          <w:rFonts w:ascii="Roboto" w:eastAsia="Times New Roman" w:hAnsi="Roboto" w:cs="Arial"/>
          <w:iCs/>
          <w:color w:val="333333"/>
        </w:rPr>
        <w:t>, Case No.</w:t>
      </w:r>
      <w:r w:rsidRPr="00EB0894">
        <w:rPr>
          <w:rFonts w:ascii="Roboto" w:eastAsia="Times New Roman" w:hAnsi="Roboto" w:cs="Arial"/>
          <w:color w:val="333333"/>
        </w:rPr>
        <w:t xml:space="preserve"> 15-cv-00469 (E.D. Tex.): Defending SAP and Hewlett-Packard in multi-patent case involving data compression.</w:t>
      </w:r>
    </w:p>
    <w:p w:rsidR="00EB0894" w:rsidRPr="00EB0894" w:rsidRDefault="00EB0894" w:rsidP="00EB0894">
      <w:pPr>
        <w:pStyle w:val="ListParagraph"/>
        <w:numPr>
          <w:ilvl w:val="0"/>
          <w:numId w:val="5"/>
        </w:numPr>
        <w:spacing w:after="120" w:line="240" w:lineRule="auto"/>
        <w:rPr>
          <w:rFonts w:ascii="Roboto" w:hAnsi="Roboto" w:cstheme="minorHAnsi"/>
        </w:rPr>
      </w:pPr>
      <w:r w:rsidRPr="00EB0894">
        <w:rPr>
          <w:rFonts w:ascii="Roboto" w:eastAsia="Times New Roman" w:hAnsi="Roboto" w:cs="Arial"/>
          <w:i/>
          <w:iCs/>
          <w:color w:val="333333"/>
        </w:rPr>
        <w:t>Big Baboon Inc. v.</w:t>
      </w:r>
      <w:r w:rsidRPr="00EB0894">
        <w:rPr>
          <w:rFonts w:ascii="Roboto" w:eastAsia="Times New Roman" w:hAnsi="Roboto" w:cs="Arial"/>
          <w:color w:val="333333"/>
        </w:rPr>
        <w:t xml:space="preserve"> </w:t>
      </w:r>
      <w:r w:rsidRPr="00EB0894">
        <w:rPr>
          <w:rFonts w:ascii="Roboto" w:eastAsia="Times New Roman" w:hAnsi="Roboto" w:cs="Arial"/>
          <w:i/>
          <w:iCs/>
          <w:color w:val="333333"/>
          <w:u w:val="single"/>
        </w:rPr>
        <w:t>Hewlett-Packard, et al.</w:t>
      </w:r>
      <w:r w:rsidRPr="00EB0894">
        <w:rPr>
          <w:rFonts w:ascii="Roboto" w:eastAsia="Times New Roman" w:hAnsi="Roboto" w:cs="Arial"/>
          <w:iCs/>
          <w:color w:val="333333"/>
        </w:rPr>
        <w:t>, Case No. 09-cv-01198</w:t>
      </w:r>
      <w:r w:rsidRPr="00EB0894">
        <w:rPr>
          <w:rFonts w:ascii="Roboto" w:eastAsia="Times New Roman" w:hAnsi="Roboto" w:cs="Arial"/>
          <w:color w:val="333333"/>
        </w:rPr>
        <w:t xml:space="preserve"> (C.D. Cal.): Representing Hewlett-Packard in multi-defendant multi-patent case involving database systems for end-to-end B2B commerce. Litigation was stayed after Klarquist filed reexaminations on both patents.</w:t>
      </w:r>
    </w:p>
    <w:p w:rsidR="00EB0894" w:rsidRPr="00EB0894" w:rsidRDefault="00EB0894" w:rsidP="00EB0894">
      <w:pPr>
        <w:pStyle w:val="ListParagraph"/>
        <w:numPr>
          <w:ilvl w:val="0"/>
          <w:numId w:val="5"/>
        </w:numPr>
        <w:spacing w:after="120" w:line="240" w:lineRule="auto"/>
        <w:rPr>
          <w:rFonts w:ascii="Roboto" w:hAnsi="Roboto" w:cstheme="minorHAnsi"/>
        </w:rPr>
      </w:pPr>
      <w:r w:rsidRPr="00EB0894">
        <w:rPr>
          <w:rStyle w:val="Emphasis"/>
          <w:rFonts w:ascii="Roboto" w:hAnsi="Roboto" w:cs="Arial"/>
          <w:color w:val="333333"/>
        </w:rPr>
        <w:t xml:space="preserve">Research Corporation Technologies v. </w:t>
      </w:r>
      <w:r w:rsidRPr="00EB0894">
        <w:rPr>
          <w:rStyle w:val="Emphasis"/>
          <w:rFonts w:ascii="Roboto" w:hAnsi="Roboto" w:cs="Arial"/>
          <w:color w:val="333333"/>
          <w:u w:val="single"/>
        </w:rPr>
        <w:t>Microsoft Corp.</w:t>
      </w:r>
      <w:r w:rsidRPr="00EB0894">
        <w:rPr>
          <w:rFonts w:ascii="Roboto" w:hAnsi="Roboto" w:cs="Arial"/>
          <w:color w:val="333333"/>
        </w:rPr>
        <w:t xml:space="preserve">, Case No. 01-cv-0658 (D. Ariz.): Defended Microsoft against six asserted patents regarding </w:t>
      </w:r>
      <w:proofErr w:type="spellStart"/>
      <w:r w:rsidRPr="00EB0894">
        <w:rPr>
          <w:rFonts w:ascii="Roboto" w:hAnsi="Roboto" w:cs="Arial"/>
          <w:color w:val="333333"/>
        </w:rPr>
        <w:t>halftoning</w:t>
      </w:r>
      <w:proofErr w:type="spellEnd"/>
      <w:r w:rsidRPr="00EB0894">
        <w:rPr>
          <w:rFonts w:ascii="Roboto" w:hAnsi="Roboto" w:cs="Arial"/>
          <w:color w:val="333333"/>
        </w:rPr>
        <w:t xml:space="preserve"> technology, including at </w:t>
      </w:r>
      <w:proofErr w:type="spellStart"/>
      <w:r w:rsidRPr="00EB0894">
        <w:rPr>
          <w:rFonts w:ascii="Roboto" w:hAnsi="Roboto" w:cs="Arial"/>
          <w:color w:val="333333"/>
        </w:rPr>
        <w:t>trial.</w:t>
      </w:r>
      <w:proofErr w:type="spellEnd"/>
    </w:p>
    <w:p w:rsidR="00EB0894" w:rsidRPr="00EB0894" w:rsidRDefault="00EB0894" w:rsidP="00EB0894">
      <w:pPr>
        <w:pStyle w:val="ListParagraph"/>
        <w:numPr>
          <w:ilvl w:val="0"/>
          <w:numId w:val="5"/>
        </w:numPr>
        <w:spacing w:after="120" w:line="240" w:lineRule="auto"/>
        <w:rPr>
          <w:rFonts w:ascii="Roboto" w:hAnsi="Roboto" w:cstheme="minorHAnsi"/>
        </w:rPr>
      </w:pPr>
      <w:proofErr w:type="spellStart"/>
      <w:r w:rsidRPr="00EB0894">
        <w:rPr>
          <w:rFonts w:ascii="Roboto" w:eastAsia="Times New Roman" w:hAnsi="Roboto" w:cs="Arial"/>
          <w:i/>
          <w:iCs/>
          <w:color w:val="333333"/>
        </w:rPr>
        <w:t>Anascape</w:t>
      </w:r>
      <w:proofErr w:type="spellEnd"/>
      <w:r w:rsidRPr="00EB0894">
        <w:rPr>
          <w:rFonts w:ascii="Roboto" w:eastAsia="Times New Roman" w:hAnsi="Roboto" w:cs="Arial"/>
          <w:i/>
          <w:iCs/>
          <w:color w:val="333333"/>
        </w:rPr>
        <w:t xml:space="preserve"> Ltd. v. </w:t>
      </w:r>
      <w:r w:rsidRPr="00EB0894">
        <w:rPr>
          <w:rFonts w:ascii="Roboto" w:eastAsia="Times New Roman" w:hAnsi="Roboto" w:cs="Arial"/>
          <w:i/>
          <w:iCs/>
          <w:color w:val="333333"/>
          <w:u w:val="single"/>
        </w:rPr>
        <w:t>Microsoft Corp.</w:t>
      </w:r>
      <w:r w:rsidRPr="00EB0894">
        <w:rPr>
          <w:rFonts w:ascii="Roboto" w:eastAsia="Times New Roman" w:hAnsi="Roboto" w:cs="Arial"/>
          <w:i/>
          <w:iCs/>
          <w:color w:val="333333"/>
        </w:rPr>
        <w:t>, et al.,</w:t>
      </w:r>
      <w:r w:rsidRPr="00EB0894">
        <w:rPr>
          <w:rFonts w:ascii="Roboto" w:eastAsia="Times New Roman" w:hAnsi="Roboto" w:cs="Arial"/>
          <w:color w:val="333333"/>
        </w:rPr>
        <w:t xml:space="preserve"> </w:t>
      </w:r>
      <w:r w:rsidRPr="00EB0894">
        <w:rPr>
          <w:rFonts w:ascii="Roboto" w:eastAsia="Times New Roman" w:hAnsi="Roboto" w:cs="Arial"/>
          <w:iCs/>
          <w:color w:val="333333"/>
        </w:rPr>
        <w:t xml:space="preserve">Case No. </w:t>
      </w:r>
      <w:r w:rsidRPr="00EB0894">
        <w:rPr>
          <w:rFonts w:ascii="Roboto" w:eastAsia="Times New Roman" w:hAnsi="Roboto" w:cs="Arial"/>
          <w:color w:val="333333"/>
        </w:rPr>
        <w:t>06-cv-00158 (E.D. Tex.): Represented Microsoft in multi-patent litigation involving Xbox® game controllers, winning partial stay pending reexams and partial summary judgment of non-infringement and no willful infringement (see 2008 WL 7182476).</w:t>
      </w:r>
    </w:p>
    <w:p w:rsidR="00EB0894" w:rsidRDefault="00EB0894" w:rsidP="00EB0894">
      <w:pPr>
        <w:pStyle w:val="ListParagraph"/>
        <w:numPr>
          <w:ilvl w:val="0"/>
          <w:numId w:val="5"/>
        </w:numPr>
        <w:spacing w:after="120" w:line="240" w:lineRule="auto"/>
        <w:rPr>
          <w:rFonts w:ascii="Roboto" w:hAnsi="Roboto" w:cstheme="minorHAnsi"/>
        </w:rPr>
      </w:pPr>
      <w:proofErr w:type="spellStart"/>
      <w:r w:rsidRPr="00EB0894">
        <w:rPr>
          <w:rFonts w:ascii="Roboto" w:eastAsia="Times New Roman" w:hAnsi="Roboto" w:cs="Arial"/>
          <w:i/>
          <w:iCs/>
          <w:color w:val="333333"/>
        </w:rPr>
        <w:t>Sklar</w:t>
      </w:r>
      <w:proofErr w:type="spellEnd"/>
      <w:r w:rsidRPr="00EB0894">
        <w:rPr>
          <w:rFonts w:ascii="Roboto" w:eastAsia="Times New Roman" w:hAnsi="Roboto" w:cs="Arial"/>
          <w:i/>
          <w:iCs/>
          <w:color w:val="333333"/>
        </w:rPr>
        <w:t xml:space="preserve"> v. </w:t>
      </w:r>
      <w:r w:rsidRPr="00EB0894">
        <w:rPr>
          <w:rFonts w:ascii="Roboto" w:eastAsia="Times New Roman" w:hAnsi="Roboto" w:cs="Arial"/>
          <w:i/>
          <w:iCs/>
          <w:color w:val="333333"/>
          <w:u w:val="single"/>
        </w:rPr>
        <w:t>Microsoft</w:t>
      </w:r>
      <w:r w:rsidRPr="00EB0894">
        <w:rPr>
          <w:rFonts w:ascii="Roboto" w:eastAsia="Times New Roman" w:hAnsi="Roboto" w:cs="Arial"/>
          <w:color w:val="333333"/>
          <w:u w:val="single"/>
        </w:rPr>
        <w:t xml:space="preserve"> Corp.</w:t>
      </w:r>
      <w:r w:rsidRPr="00EB0894">
        <w:rPr>
          <w:rFonts w:ascii="Roboto" w:eastAsia="Times New Roman" w:hAnsi="Roboto" w:cs="Arial"/>
          <w:color w:val="333333"/>
        </w:rPr>
        <w:t xml:space="preserve">, </w:t>
      </w:r>
      <w:r w:rsidRPr="00EB0894">
        <w:rPr>
          <w:rFonts w:ascii="Roboto" w:eastAsia="Times New Roman" w:hAnsi="Roboto" w:cs="Arial"/>
          <w:iCs/>
          <w:color w:val="333333"/>
        </w:rPr>
        <w:t xml:space="preserve">Case No. </w:t>
      </w:r>
      <w:r w:rsidRPr="00EB0894">
        <w:rPr>
          <w:rFonts w:ascii="Roboto" w:eastAsia="Times New Roman" w:hAnsi="Roboto" w:cs="Arial"/>
          <w:color w:val="333333"/>
        </w:rPr>
        <w:t>06-cv-00007 (E.D. Tex.): Defended Microsoft in case relating to Windows® operating system user interface features.</w:t>
      </w:r>
    </w:p>
    <w:p w:rsidR="00EB0894" w:rsidRPr="00EB0894" w:rsidRDefault="00EB0894" w:rsidP="00EB0894">
      <w:pPr>
        <w:pStyle w:val="ListParagraph"/>
        <w:numPr>
          <w:ilvl w:val="0"/>
          <w:numId w:val="5"/>
        </w:numPr>
        <w:spacing w:after="120" w:line="240" w:lineRule="auto"/>
        <w:rPr>
          <w:rFonts w:ascii="Roboto" w:hAnsi="Roboto" w:cstheme="minorHAnsi"/>
        </w:rPr>
      </w:pPr>
      <w:bookmarkStart w:id="0" w:name="_GoBack"/>
      <w:bookmarkEnd w:id="0"/>
      <w:r w:rsidRPr="00EB0894">
        <w:rPr>
          <w:rFonts w:ascii="Roboto" w:eastAsia="Times New Roman" w:hAnsi="Roboto" w:cs="Arial"/>
          <w:i/>
          <w:iCs/>
          <w:color w:val="333333"/>
        </w:rPr>
        <w:t xml:space="preserve">Network Commerce v. </w:t>
      </w:r>
      <w:r w:rsidRPr="00EB0894">
        <w:rPr>
          <w:rFonts w:ascii="Roboto" w:eastAsia="Times New Roman" w:hAnsi="Roboto" w:cs="Arial"/>
          <w:i/>
          <w:iCs/>
          <w:color w:val="333333"/>
          <w:u w:val="single"/>
        </w:rPr>
        <w:t>Microsoft Corp.</w:t>
      </w:r>
      <w:r w:rsidRPr="00EB0894">
        <w:rPr>
          <w:rFonts w:ascii="Roboto" w:eastAsia="Times New Roman" w:hAnsi="Roboto" w:cs="Arial"/>
          <w:iCs/>
          <w:color w:val="333333"/>
        </w:rPr>
        <w:t>, Case Nos. 01-cv-01991, 04-1445</w:t>
      </w:r>
      <w:r w:rsidRPr="00EB0894">
        <w:rPr>
          <w:rFonts w:ascii="Roboto" w:eastAsia="Times New Roman" w:hAnsi="Roboto" w:cs="Arial"/>
          <w:color w:val="333333"/>
        </w:rPr>
        <w:t xml:space="preserve"> (</w:t>
      </w:r>
      <w:proofErr w:type="spellStart"/>
      <w:r w:rsidRPr="00EB0894">
        <w:rPr>
          <w:rFonts w:ascii="Roboto" w:eastAsia="Times New Roman" w:hAnsi="Roboto" w:cs="Arial"/>
          <w:color w:val="333333"/>
        </w:rPr>
        <w:t>W.D</w:t>
      </w:r>
      <w:proofErr w:type="spellEnd"/>
      <w:r w:rsidRPr="00EB0894">
        <w:rPr>
          <w:rFonts w:ascii="Roboto" w:eastAsia="Times New Roman" w:hAnsi="Roboto" w:cs="Arial"/>
          <w:color w:val="333333"/>
        </w:rPr>
        <w:t xml:space="preserve">. Wash., Fed. Cir.): Led defense team for Microsoft and won summary judgment of non-infringement regarding patents relating to online media distribution. Successfully defended the summary judgment win on appeal. </w:t>
      </w:r>
      <w:r w:rsidRPr="00EB0894">
        <w:rPr>
          <w:rFonts w:ascii="Roboto" w:eastAsia="Times New Roman" w:hAnsi="Roboto" w:cs="Arial"/>
          <w:i/>
          <w:color w:val="333333"/>
        </w:rPr>
        <w:t>See</w:t>
      </w:r>
      <w:r w:rsidRPr="00EB0894">
        <w:rPr>
          <w:rFonts w:ascii="Roboto" w:eastAsia="Times New Roman" w:hAnsi="Roboto" w:cs="Arial"/>
          <w:color w:val="333333"/>
        </w:rPr>
        <w:t xml:space="preserve"> 422 F.3d 1353 (Fed. Cir. 2005).</w:t>
      </w:r>
    </w:p>
    <w:p w:rsidR="00991E89" w:rsidRPr="00561476" w:rsidRDefault="00991E89" w:rsidP="00991E89">
      <w:pPr>
        <w:pStyle w:val="ListParagraph"/>
        <w:spacing w:after="0" w:line="240" w:lineRule="auto"/>
        <w:rPr>
          <w:rFonts w:ascii="Roboto" w:hAnsi="Roboto" w:cstheme="minorHAnsi"/>
          <w:sz w:val="20"/>
          <w:szCs w:val="20"/>
        </w:rPr>
      </w:pPr>
    </w:p>
    <w:sectPr w:rsidR="00991E89" w:rsidRPr="00561476" w:rsidSect="009A20A8">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D7" w:rsidRDefault="002E09D7" w:rsidP="000F75B3">
      <w:pPr>
        <w:spacing w:after="0" w:line="240" w:lineRule="auto"/>
      </w:pPr>
      <w:r>
        <w:separator/>
      </w:r>
    </w:p>
  </w:endnote>
  <w:endnote w:type="continuationSeparator" w:id="0">
    <w:p w:rsidR="002E09D7" w:rsidRDefault="002E09D7" w:rsidP="000F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rdea OT Reg">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42" w:rsidRDefault="00BC5E8C" w:rsidP="004A7B42">
    <w:pPr>
      <w:pStyle w:val="Footer"/>
      <w:tabs>
        <w:tab w:val="clear" w:pos="4680"/>
        <w:tab w:val="left" w:pos="5760"/>
      </w:tabs>
      <w:jc w:val="right"/>
    </w:pPr>
    <w:r>
      <w:rPr>
        <w:noProof/>
      </w:rPr>
      <w:drawing>
        <wp:anchor distT="0" distB="0" distL="114300" distR="114300" simplePos="0" relativeHeight="251659264" behindDoc="0" locked="0" layoutInCell="1" allowOverlap="1" wp14:anchorId="7EA6BB57" wp14:editId="5D6DE40D">
          <wp:simplePos x="0" y="0"/>
          <wp:positionH relativeFrom="margin">
            <wp:align>right</wp:align>
          </wp:positionH>
          <wp:positionV relativeFrom="paragraph">
            <wp:posOffset>8255</wp:posOffset>
          </wp:positionV>
          <wp:extent cx="1828800" cy="404495"/>
          <wp:effectExtent l="0" t="0" r="0" b="0"/>
          <wp:wrapNone/>
          <wp:docPr id="2" name="Picture 2" descr="C:\Users\ecj\AppData\Local\Microsoft\Windows\INetCache\Content.Word\klarquis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j\AppData\Local\Microsoft\Windows\INetCache\Content.Word\klarquist-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04495"/>
                  </a:xfrm>
                  <a:prstGeom prst="rect">
                    <a:avLst/>
                  </a:prstGeom>
                  <a:noFill/>
                  <a:ln>
                    <a:noFill/>
                  </a:ln>
                </pic:spPr>
              </pic:pic>
            </a:graphicData>
          </a:graphic>
        </wp:anchor>
      </w:drawing>
    </w:r>
    <w:r w:rsidR="004A7B42">
      <w:tab/>
    </w:r>
  </w:p>
  <w:p w:rsidR="001249AA" w:rsidRDefault="00C62A34" w:rsidP="00C62A34">
    <w:pPr>
      <w:pStyle w:val="Footer"/>
      <w:tabs>
        <w:tab w:val="clear" w:pos="4680"/>
        <w:tab w:val="left" w:pos="5760"/>
        <w:tab w:val="left" w:pos="6300"/>
      </w:tabs>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D7" w:rsidRDefault="002E09D7" w:rsidP="000F75B3">
      <w:pPr>
        <w:spacing w:after="0" w:line="240" w:lineRule="auto"/>
      </w:pPr>
      <w:r>
        <w:separator/>
      </w:r>
    </w:p>
  </w:footnote>
  <w:footnote w:type="continuationSeparator" w:id="0">
    <w:p w:rsidR="002E09D7" w:rsidRDefault="002E09D7" w:rsidP="000F7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B3" w:rsidRPr="004A7B42" w:rsidRDefault="000F75B3" w:rsidP="009C5FB7">
    <w:pPr>
      <w:pStyle w:val="Header"/>
      <w:tabs>
        <w:tab w:val="clear" w:pos="4680"/>
      </w:tabs>
      <w:rPr>
        <w:rFonts w:ascii="Cardea OT Reg" w:hAnsi="Cardea OT Reg"/>
        <w:color w:val="FFFFFF" w:themeColor="background1"/>
        <w:sz w:val="52"/>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5A9"/>
    <w:multiLevelType w:val="multilevel"/>
    <w:tmpl w:val="93245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86176"/>
    <w:multiLevelType w:val="hybridMultilevel"/>
    <w:tmpl w:val="7FA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B6AFB"/>
    <w:multiLevelType w:val="hybridMultilevel"/>
    <w:tmpl w:val="D4D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7408B"/>
    <w:multiLevelType w:val="hybridMultilevel"/>
    <w:tmpl w:val="2750A4D8"/>
    <w:lvl w:ilvl="0" w:tplc="E21841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7AA"/>
    <w:multiLevelType w:val="multilevel"/>
    <w:tmpl w:val="CD7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6021B"/>
    <w:multiLevelType w:val="hybridMultilevel"/>
    <w:tmpl w:val="0F2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1729C"/>
    <w:multiLevelType w:val="multilevel"/>
    <w:tmpl w:val="4FE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B3"/>
    <w:rsid w:val="00060EA1"/>
    <w:rsid w:val="000D25B0"/>
    <w:rsid w:val="000F75B3"/>
    <w:rsid w:val="001249AA"/>
    <w:rsid w:val="00132A38"/>
    <w:rsid w:val="001C56E4"/>
    <w:rsid w:val="00242CF7"/>
    <w:rsid w:val="00260572"/>
    <w:rsid w:val="00272045"/>
    <w:rsid w:val="002C4033"/>
    <w:rsid w:val="002E09D7"/>
    <w:rsid w:val="0031206F"/>
    <w:rsid w:val="00314F56"/>
    <w:rsid w:val="0035637E"/>
    <w:rsid w:val="00385E86"/>
    <w:rsid w:val="003908C9"/>
    <w:rsid w:val="004313CC"/>
    <w:rsid w:val="004375FB"/>
    <w:rsid w:val="004A7B42"/>
    <w:rsid w:val="00561476"/>
    <w:rsid w:val="005C1F59"/>
    <w:rsid w:val="006D2E44"/>
    <w:rsid w:val="0074152A"/>
    <w:rsid w:val="007A3FCF"/>
    <w:rsid w:val="00860595"/>
    <w:rsid w:val="008A379A"/>
    <w:rsid w:val="0099187D"/>
    <w:rsid w:val="00991E89"/>
    <w:rsid w:val="009A20A8"/>
    <w:rsid w:val="009B0AC7"/>
    <w:rsid w:val="009C5FB7"/>
    <w:rsid w:val="00B265EB"/>
    <w:rsid w:val="00B35867"/>
    <w:rsid w:val="00B4332E"/>
    <w:rsid w:val="00BB3563"/>
    <w:rsid w:val="00BC5E8C"/>
    <w:rsid w:val="00C355B3"/>
    <w:rsid w:val="00C62A34"/>
    <w:rsid w:val="00D15A26"/>
    <w:rsid w:val="00D51371"/>
    <w:rsid w:val="00D67E2E"/>
    <w:rsid w:val="00E47C45"/>
    <w:rsid w:val="00EB0894"/>
    <w:rsid w:val="00F340C3"/>
    <w:rsid w:val="00F7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5BA73CE2-4439-4EFF-ACDF-57AC9F77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B3"/>
  </w:style>
  <w:style w:type="paragraph" w:styleId="Footer">
    <w:name w:val="footer"/>
    <w:basedOn w:val="Normal"/>
    <w:link w:val="FooterChar"/>
    <w:uiPriority w:val="99"/>
    <w:unhideWhenUsed/>
    <w:rsid w:val="000F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B3"/>
  </w:style>
  <w:style w:type="character" w:styleId="Hyperlink">
    <w:name w:val="Hyperlink"/>
    <w:basedOn w:val="DefaultParagraphFont"/>
    <w:uiPriority w:val="99"/>
    <w:unhideWhenUsed/>
    <w:rsid w:val="002C4033"/>
    <w:rPr>
      <w:color w:val="0563C1" w:themeColor="hyperlink"/>
      <w:u w:val="single"/>
    </w:rPr>
  </w:style>
  <w:style w:type="paragraph" w:styleId="BalloonText">
    <w:name w:val="Balloon Text"/>
    <w:basedOn w:val="Normal"/>
    <w:link w:val="BalloonTextChar"/>
    <w:uiPriority w:val="99"/>
    <w:semiHidden/>
    <w:unhideWhenUsed/>
    <w:rsid w:val="00B2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EB"/>
    <w:rPr>
      <w:rFonts w:ascii="Segoe UI" w:hAnsi="Segoe UI" w:cs="Segoe UI"/>
      <w:sz w:val="18"/>
      <w:szCs w:val="18"/>
    </w:rPr>
  </w:style>
  <w:style w:type="paragraph" w:styleId="ListParagraph">
    <w:name w:val="List Paragraph"/>
    <w:basedOn w:val="Normal"/>
    <w:uiPriority w:val="34"/>
    <w:qFormat/>
    <w:rsid w:val="001249AA"/>
    <w:pPr>
      <w:ind w:left="720"/>
      <w:contextualSpacing/>
    </w:pPr>
  </w:style>
  <w:style w:type="character" w:styleId="Emphasis">
    <w:name w:val="Emphasis"/>
    <w:basedOn w:val="DefaultParagraphFont"/>
    <w:uiPriority w:val="20"/>
    <w:qFormat/>
    <w:rsid w:val="00356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0392">
      <w:bodyDiv w:val="1"/>
      <w:marLeft w:val="0"/>
      <w:marRight w:val="0"/>
      <w:marTop w:val="0"/>
      <w:marBottom w:val="0"/>
      <w:divBdr>
        <w:top w:val="none" w:sz="0" w:space="0" w:color="auto"/>
        <w:left w:val="none" w:sz="0" w:space="0" w:color="auto"/>
        <w:bottom w:val="none" w:sz="0" w:space="0" w:color="auto"/>
        <w:right w:val="none" w:sz="0" w:space="0" w:color="auto"/>
      </w:divBdr>
    </w:div>
    <w:div w:id="1111363235">
      <w:bodyDiv w:val="1"/>
      <w:marLeft w:val="0"/>
      <w:marRight w:val="0"/>
      <w:marTop w:val="0"/>
      <w:marBottom w:val="0"/>
      <w:divBdr>
        <w:top w:val="none" w:sz="0" w:space="0" w:color="auto"/>
        <w:left w:val="none" w:sz="0" w:space="0" w:color="auto"/>
        <w:bottom w:val="none" w:sz="0" w:space="0" w:color="auto"/>
        <w:right w:val="none" w:sz="0" w:space="0" w:color="auto"/>
      </w:divBdr>
    </w:div>
    <w:div w:id="1183281702">
      <w:bodyDiv w:val="1"/>
      <w:marLeft w:val="0"/>
      <w:marRight w:val="0"/>
      <w:marTop w:val="0"/>
      <w:marBottom w:val="0"/>
      <w:divBdr>
        <w:top w:val="none" w:sz="0" w:space="0" w:color="auto"/>
        <w:left w:val="none" w:sz="0" w:space="0" w:color="auto"/>
        <w:bottom w:val="none" w:sz="0" w:space="0" w:color="auto"/>
        <w:right w:val="none" w:sz="0" w:space="0" w:color="auto"/>
      </w:divBdr>
    </w:div>
    <w:div w:id="1386950889">
      <w:bodyDiv w:val="1"/>
      <w:marLeft w:val="0"/>
      <w:marRight w:val="0"/>
      <w:marTop w:val="0"/>
      <w:marBottom w:val="0"/>
      <w:divBdr>
        <w:top w:val="none" w:sz="0" w:space="0" w:color="auto"/>
        <w:left w:val="none" w:sz="0" w:space="0" w:color="auto"/>
        <w:bottom w:val="none" w:sz="0" w:space="0" w:color="auto"/>
        <w:right w:val="none" w:sz="0" w:space="0" w:color="auto"/>
      </w:divBdr>
    </w:div>
    <w:div w:id="1506745369">
      <w:bodyDiv w:val="1"/>
      <w:marLeft w:val="0"/>
      <w:marRight w:val="0"/>
      <w:marTop w:val="0"/>
      <w:marBottom w:val="0"/>
      <w:divBdr>
        <w:top w:val="none" w:sz="0" w:space="0" w:color="auto"/>
        <w:left w:val="none" w:sz="0" w:space="0" w:color="auto"/>
        <w:bottom w:val="none" w:sz="0" w:space="0" w:color="auto"/>
        <w:right w:val="none" w:sz="0" w:space="0" w:color="auto"/>
      </w:divBdr>
    </w:div>
    <w:div w:id="1667436950">
      <w:bodyDiv w:val="1"/>
      <w:marLeft w:val="0"/>
      <w:marRight w:val="0"/>
      <w:marTop w:val="0"/>
      <w:marBottom w:val="0"/>
      <w:divBdr>
        <w:top w:val="none" w:sz="0" w:space="0" w:color="auto"/>
        <w:left w:val="none" w:sz="0" w:space="0" w:color="auto"/>
        <w:bottom w:val="none" w:sz="0" w:space="0" w:color="auto"/>
        <w:right w:val="none" w:sz="0" w:space="0" w:color="auto"/>
      </w:divBdr>
    </w:div>
    <w:div w:id="19349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5AD6-81F5-4C68-A3E8-8683C79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46AC2C26.dotm</Template>
  <TotalTime>18</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Klarquist Sparkman, LLP</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I. Weiss</dc:creator>
  <cp:keywords/>
  <dc:description/>
  <cp:lastModifiedBy>Jake I. Weiss</cp:lastModifiedBy>
  <cp:revision>22</cp:revision>
  <cp:lastPrinted>2018-05-29T18:18:00Z</cp:lastPrinted>
  <dcterms:created xsi:type="dcterms:W3CDTF">2018-04-25T16:55:00Z</dcterms:created>
  <dcterms:modified xsi:type="dcterms:W3CDTF">2018-08-14T23:35:00Z</dcterms:modified>
</cp:coreProperties>
</file>